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330" w:afterAutospacing="0"/>
        <w:ind w:left="0" w:right="0" w:firstLine="0"/>
        <w:jc w:val="center"/>
        <w:textAlignment w:val="baseline"/>
        <w:rPr>
          <w:rStyle w:val="8"/>
          <w:rFonts w:hint="eastAsia" w:ascii="微软雅黑" w:hAnsi="微软雅黑" w:eastAsia="微软雅黑" w:cs="微软雅黑"/>
          <w:b/>
          <w:bCs/>
          <w:i w:val="0"/>
          <w:iCs w:val="0"/>
          <w:caps w:val="0"/>
          <w:color w:val="383838"/>
          <w:spacing w:val="0"/>
          <w:sz w:val="24"/>
          <w:szCs w:val="24"/>
          <w:shd w:val="clear" w:fill="FFFFFF"/>
          <w:vertAlign w:val="baseline"/>
        </w:rPr>
      </w:pPr>
      <w:r>
        <w:rPr>
          <w:rStyle w:val="8"/>
          <w:rFonts w:hint="eastAsia" w:ascii="微软雅黑" w:hAnsi="微软雅黑" w:eastAsia="微软雅黑" w:cs="微软雅黑"/>
          <w:b/>
          <w:bCs/>
          <w:i w:val="0"/>
          <w:iCs w:val="0"/>
          <w:caps w:val="0"/>
          <w:color w:val="383838"/>
          <w:spacing w:val="0"/>
          <w:sz w:val="24"/>
          <w:szCs w:val="24"/>
          <w:shd w:val="clear" w:fill="FFFFFF"/>
          <w:vertAlign w:val="baseline"/>
        </w:rPr>
        <w:t>宁德市汇融征信服务有限公司关于宁德市农村生产要素流转融资平台及宁德市普惠金融信用信息平台三级等保测评服务采购项目竞争性磋商成交公告</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Style w:val="8"/>
          <w:rFonts w:hint="eastAsia" w:ascii="微软雅黑" w:hAnsi="微软雅黑" w:eastAsia="微软雅黑" w:cs="微软雅黑"/>
          <w:b/>
          <w:bCs/>
          <w:i w:val="0"/>
          <w:iCs w:val="0"/>
          <w:caps w:val="0"/>
          <w:color w:val="383838"/>
          <w:spacing w:val="0"/>
          <w:sz w:val="21"/>
          <w:szCs w:val="21"/>
          <w:shd w:val="clear" w:fill="FFFFFF"/>
          <w:vertAlign w:val="baseline"/>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项目编号：NDYXCQ[CS]2023044（1）</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Chars="0" w:right="0" w:rightChars="0"/>
        <w:textAlignment w:val="baseline"/>
        <w:rPr>
          <w:rFonts w:hint="eastAsia" w:ascii="微软雅黑" w:hAnsi="微软雅黑" w:eastAsia="微软雅黑" w:cs="微软雅黑"/>
          <w:i w:val="0"/>
          <w:iCs w:val="0"/>
          <w:caps w:val="0"/>
          <w:color w:val="383838"/>
          <w:spacing w:val="0"/>
          <w:sz w:val="21"/>
          <w:szCs w:val="21"/>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二、项目名称：宁德市农村生产要素流转融资平台及宁德市普惠金融信用信息平台三级等保测评服务采购项目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Style w:val="8"/>
          <w:rFonts w:hint="eastAsia" w:ascii="微软雅黑" w:hAnsi="微软雅黑" w:eastAsia="微软雅黑" w:cs="微软雅黑"/>
          <w:b/>
          <w:bCs/>
          <w:i w:val="0"/>
          <w:iCs w:val="0"/>
          <w:caps w:val="0"/>
          <w:color w:val="383838"/>
          <w:spacing w:val="0"/>
          <w:sz w:val="21"/>
          <w:szCs w:val="21"/>
          <w:shd w:val="clear" w:fill="FFFFFF"/>
          <w:vertAlign w:val="baseline"/>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三、成交信息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Style w:val="8"/>
          <w:rFonts w:hint="default" w:ascii="微软雅黑" w:hAnsi="微软雅黑" w:eastAsia="微软雅黑" w:cs="微软雅黑"/>
          <w:b/>
          <w:bCs/>
          <w:i w:val="0"/>
          <w:iCs w:val="0"/>
          <w:caps w:val="0"/>
          <w:color w:val="383838"/>
          <w:spacing w:val="0"/>
          <w:sz w:val="21"/>
          <w:szCs w:val="21"/>
          <w:shd w:val="clear" w:fill="FFFFFF"/>
          <w:vertAlign w:val="baseline"/>
          <w:lang w:val="en-US" w:eastAsia="zh-CN"/>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lang w:val="en-US" w:eastAsia="zh-CN"/>
        </w:rPr>
        <w:t>采购包1：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供应商名称：中国电信股份有限公司宁德分公司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供应商地址：宁德市蕉城区蕉城南路99号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r>
        <w:rPr>
          <w:rFonts w:hint="eastAsia" w:ascii="微软雅黑" w:hAnsi="微软雅黑" w:eastAsia="微软雅黑" w:cs="微软雅黑"/>
          <w:i w:val="0"/>
          <w:iCs w:val="0"/>
          <w:caps w:val="0"/>
          <w:color w:val="383838"/>
          <w:spacing w:val="0"/>
          <w:sz w:val="21"/>
          <w:szCs w:val="21"/>
          <w:shd w:val="clear" w:fill="FFFFFF"/>
          <w:vertAlign w:val="baseline"/>
        </w:rPr>
        <w:t>中标（成交）金额：31</w:t>
      </w:r>
      <w:r>
        <w:rPr>
          <w:rFonts w:hint="eastAsia" w:ascii="微软雅黑" w:hAnsi="微软雅黑" w:eastAsia="微软雅黑" w:cs="微软雅黑"/>
          <w:i w:val="0"/>
          <w:iCs w:val="0"/>
          <w:caps w:val="0"/>
          <w:color w:val="383838"/>
          <w:spacing w:val="0"/>
          <w:sz w:val="21"/>
          <w:szCs w:val="21"/>
          <w:shd w:val="clear" w:fill="FFFFFF"/>
          <w:vertAlign w:val="baseline"/>
          <w:lang w:val="en-US" w:eastAsia="zh-CN"/>
        </w:rPr>
        <w:t>.</w:t>
      </w:r>
      <w:r>
        <w:rPr>
          <w:rFonts w:hint="eastAsia" w:ascii="微软雅黑" w:hAnsi="微软雅黑" w:eastAsia="微软雅黑" w:cs="微软雅黑"/>
          <w:i w:val="0"/>
          <w:iCs w:val="0"/>
          <w:caps w:val="0"/>
          <w:color w:val="383838"/>
          <w:spacing w:val="0"/>
          <w:sz w:val="21"/>
          <w:szCs w:val="21"/>
          <w:shd w:val="clear" w:fill="FFFFFF"/>
          <w:vertAlign w:val="baseline"/>
        </w:rPr>
        <w:t>4600（万元）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Style w:val="8"/>
          <w:rFonts w:hint="default" w:ascii="微软雅黑" w:hAnsi="微软雅黑" w:eastAsia="微软雅黑" w:cs="微软雅黑"/>
          <w:b/>
          <w:bCs/>
          <w:i w:val="0"/>
          <w:iCs w:val="0"/>
          <w:caps w:val="0"/>
          <w:color w:val="383838"/>
          <w:spacing w:val="0"/>
          <w:sz w:val="21"/>
          <w:szCs w:val="21"/>
          <w:shd w:val="clear" w:fill="FFFFFF"/>
          <w:vertAlign w:val="baseline"/>
          <w:lang w:val="en-US" w:eastAsia="zh-CN"/>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lang w:val="en-US" w:eastAsia="zh-CN"/>
        </w:rPr>
        <w:t>采购包2：</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供应商名称：中国电信股份有限公司宁德分公司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供应商地址：宁德市蕉城区蕉城南路99号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r>
        <w:rPr>
          <w:rFonts w:hint="eastAsia" w:ascii="微软雅黑" w:hAnsi="微软雅黑" w:eastAsia="微软雅黑" w:cs="微软雅黑"/>
          <w:i w:val="0"/>
          <w:iCs w:val="0"/>
          <w:caps w:val="0"/>
          <w:color w:val="383838"/>
          <w:spacing w:val="0"/>
          <w:sz w:val="21"/>
          <w:szCs w:val="21"/>
          <w:shd w:val="clear" w:fill="FFFFFF"/>
          <w:vertAlign w:val="baseline"/>
        </w:rPr>
        <w:t>中标（成交）金额：31</w:t>
      </w:r>
      <w:r>
        <w:rPr>
          <w:rFonts w:hint="eastAsia" w:ascii="微软雅黑" w:hAnsi="微软雅黑" w:eastAsia="微软雅黑" w:cs="微软雅黑"/>
          <w:i w:val="0"/>
          <w:iCs w:val="0"/>
          <w:caps w:val="0"/>
          <w:color w:val="383838"/>
          <w:spacing w:val="0"/>
          <w:sz w:val="21"/>
          <w:szCs w:val="21"/>
          <w:shd w:val="clear" w:fill="FFFFFF"/>
          <w:vertAlign w:val="baseline"/>
          <w:lang w:val="en-US" w:eastAsia="zh-CN"/>
        </w:rPr>
        <w:t>.</w:t>
      </w:r>
      <w:r>
        <w:rPr>
          <w:rFonts w:hint="eastAsia" w:ascii="微软雅黑" w:hAnsi="微软雅黑" w:eastAsia="微软雅黑" w:cs="微软雅黑"/>
          <w:i w:val="0"/>
          <w:iCs w:val="0"/>
          <w:caps w:val="0"/>
          <w:color w:val="383838"/>
          <w:spacing w:val="0"/>
          <w:sz w:val="21"/>
          <w:szCs w:val="21"/>
          <w:shd w:val="clear" w:fill="FFFFFF"/>
          <w:vertAlign w:val="baseline"/>
        </w:rPr>
        <w:t>5200（万元）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四、主要标的信息</w:t>
      </w:r>
    </w:p>
    <w:tbl>
      <w:tblPr>
        <w:tblStyle w:val="6"/>
        <w:tblW w:w="10115" w:type="dxa"/>
        <w:tblInd w:w="-239"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Layout w:type="fixed"/>
        <w:tblCellMar>
          <w:top w:w="0" w:type="dxa"/>
          <w:left w:w="0" w:type="dxa"/>
          <w:bottom w:w="0" w:type="dxa"/>
          <w:right w:w="0" w:type="dxa"/>
        </w:tblCellMar>
      </w:tblPr>
      <w:tblGrid>
        <w:gridCol w:w="645"/>
        <w:gridCol w:w="663"/>
        <w:gridCol w:w="1032"/>
        <w:gridCol w:w="1590"/>
        <w:gridCol w:w="1823"/>
        <w:gridCol w:w="2551"/>
        <w:gridCol w:w="1811"/>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64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aps w:val="0"/>
                <w:color w:val="383838"/>
                <w:spacing w:val="0"/>
                <w:sz w:val="21"/>
                <w:szCs w:val="21"/>
                <w:lang w:val="en-US" w:eastAsia="zh-CN"/>
              </w:rPr>
            </w:pPr>
            <w:r>
              <w:rPr>
                <w:rFonts w:hint="eastAsia" w:ascii="微软雅黑" w:hAnsi="微软雅黑" w:eastAsia="微软雅黑" w:cs="微软雅黑"/>
                <w:i w:val="0"/>
                <w:iCs w:val="0"/>
                <w:caps w:val="0"/>
                <w:color w:val="383838"/>
                <w:spacing w:val="0"/>
                <w:sz w:val="21"/>
                <w:szCs w:val="21"/>
                <w:lang w:val="en-US" w:eastAsia="zh-CN"/>
              </w:rPr>
              <w:t>采购包</w:t>
            </w:r>
          </w:p>
        </w:tc>
        <w:tc>
          <w:tcPr>
            <w:tcW w:w="663"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供应商名称</w:t>
            </w:r>
          </w:p>
        </w:tc>
        <w:tc>
          <w:tcPr>
            <w:tcW w:w="1032"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服务名称</w:t>
            </w:r>
          </w:p>
        </w:tc>
        <w:tc>
          <w:tcPr>
            <w:tcW w:w="1590"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服务范围</w:t>
            </w:r>
          </w:p>
        </w:tc>
        <w:tc>
          <w:tcPr>
            <w:tcW w:w="1823"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服务要求</w:t>
            </w:r>
          </w:p>
        </w:tc>
        <w:tc>
          <w:tcPr>
            <w:tcW w:w="2551"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服务时间</w:t>
            </w:r>
          </w:p>
        </w:tc>
        <w:tc>
          <w:tcPr>
            <w:tcW w:w="1811"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645"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cs="宋体" w:eastAsiaTheme="minorEastAsia"/>
                <w:i w:val="0"/>
                <w:iCs w:val="0"/>
                <w:caps w:val="0"/>
                <w:color w:val="auto"/>
                <w:spacing w:val="0"/>
                <w:sz w:val="21"/>
                <w:szCs w:val="21"/>
                <w:highlight w:val="none"/>
                <w:lang w:bidi="ar"/>
              </w:rPr>
            </w:pPr>
            <w:r>
              <w:rPr>
                <w:rFonts w:hint="eastAsia" w:ascii="宋体" w:hAnsi="宋体" w:cs="宋体" w:eastAsiaTheme="minorEastAsia"/>
                <w:i w:val="0"/>
                <w:iCs w:val="0"/>
                <w:caps w:val="0"/>
                <w:color w:val="auto"/>
                <w:spacing w:val="0"/>
                <w:kern w:val="2"/>
                <w:sz w:val="21"/>
                <w:szCs w:val="21"/>
                <w:highlight w:val="none"/>
                <w:lang w:val="en-US" w:eastAsia="zh-CN" w:bidi="ar"/>
              </w:rPr>
              <w:t>1</w:t>
            </w:r>
          </w:p>
        </w:tc>
        <w:tc>
          <w:tcPr>
            <w:tcW w:w="663"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cs="宋体" w:eastAsiaTheme="minorEastAsia"/>
                <w:i w:val="0"/>
                <w:iCs w:val="0"/>
                <w:caps w:val="0"/>
                <w:color w:val="auto"/>
                <w:spacing w:val="0"/>
                <w:sz w:val="21"/>
                <w:szCs w:val="21"/>
                <w:highlight w:val="none"/>
                <w:lang w:bidi="ar"/>
              </w:rPr>
            </w:pPr>
            <w:r>
              <w:rPr>
                <w:rFonts w:hint="eastAsia" w:ascii="宋体" w:hAnsi="宋体" w:cs="宋体" w:eastAsiaTheme="minorEastAsia"/>
                <w:i w:val="0"/>
                <w:iCs w:val="0"/>
                <w:caps w:val="0"/>
                <w:color w:val="auto"/>
                <w:spacing w:val="0"/>
                <w:sz w:val="21"/>
                <w:szCs w:val="21"/>
                <w:highlight w:val="none"/>
                <w:shd w:val="clear"/>
                <w:vertAlign w:val="baseline"/>
                <w:lang w:bidi="ar"/>
              </w:rPr>
              <w:t>中国电信股份有限公司宁德分公司</w:t>
            </w:r>
          </w:p>
        </w:tc>
        <w:tc>
          <w:tcPr>
            <w:tcW w:w="1032"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rPr>
                <w:rFonts w:hint="eastAsia" w:ascii="宋体" w:hAnsi="宋体" w:cs="宋体" w:eastAsiaTheme="minorEastAsia"/>
                <w:i w:val="0"/>
                <w:iCs w:val="0"/>
                <w:caps w:val="0"/>
                <w:color w:val="auto"/>
                <w:spacing w:val="0"/>
                <w:sz w:val="21"/>
                <w:szCs w:val="21"/>
                <w:highlight w:val="none"/>
                <w:lang w:bidi="ar"/>
              </w:rPr>
            </w:pPr>
            <w:r>
              <w:rPr>
                <w:rFonts w:hint="eastAsia" w:ascii="宋体" w:hAnsi="宋体" w:cs="宋体"/>
                <w:color w:val="auto"/>
                <w:sz w:val="21"/>
                <w:szCs w:val="21"/>
                <w:highlight w:val="none"/>
                <w:lang w:bidi="ar"/>
              </w:rPr>
              <w:t>宁德市农村生产要素流转融资平台三级等保测评服务</w:t>
            </w:r>
          </w:p>
        </w:tc>
        <w:tc>
          <w:tcPr>
            <w:tcW w:w="1590"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default" w:ascii="微软雅黑" w:hAnsi="微软雅黑" w:cs="微软雅黑" w:eastAsiaTheme="minorEastAsia"/>
                <w:i w:val="0"/>
                <w:iCs w:val="0"/>
                <w:caps w:val="0"/>
                <w:color w:val="383838"/>
                <w:spacing w:val="0"/>
                <w:sz w:val="21"/>
                <w:szCs w:val="21"/>
                <w:lang w:val="en-US" w:eastAsia="zh-CN"/>
              </w:rPr>
            </w:pPr>
            <w:r>
              <w:rPr>
                <w:rFonts w:hint="eastAsia" w:ascii="微软雅黑" w:hAnsi="微软雅黑" w:eastAsia="微软雅黑" w:cs="微软雅黑"/>
                <w:i w:val="0"/>
                <w:iCs w:val="0"/>
                <w:caps w:val="0"/>
                <w:color w:val="383838"/>
                <w:spacing w:val="0"/>
                <w:kern w:val="0"/>
                <w:sz w:val="21"/>
                <w:szCs w:val="21"/>
                <w:lang w:val="en-US" w:eastAsia="zh-CN" w:bidi="ar"/>
              </w:rPr>
              <w:t> </w:t>
            </w:r>
            <w:r>
              <w:rPr>
                <w:rFonts w:hint="eastAsia" w:ascii="宋体" w:hAnsi="宋体" w:cs="宋体"/>
                <w:color w:val="auto"/>
                <w:sz w:val="21"/>
                <w:szCs w:val="21"/>
                <w:highlight w:val="none"/>
                <w:lang w:bidi="ar"/>
              </w:rPr>
              <w:t>本次进行信息安全等级保护</w:t>
            </w:r>
            <w:r>
              <w:rPr>
                <w:rFonts w:hint="eastAsia" w:ascii="宋体" w:hAnsi="宋体" w:cs="宋体"/>
                <w:color w:val="auto"/>
                <w:sz w:val="21"/>
                <w:szCs w:val="21"/>
                <w:highlight w:val="none"/>
              </w:rPr>
              <w:t>咨询及</w:t>
            </w:r>
            <w:r>
              <w:rPr>
                <w:rFonts w:hint="eastAsia" w:ascii="宋体" w:hAnsi="宋体" w:cs="宋体"/>
                <w:color w:val="auto"/>
                <w:sz w:val="21"/>
                <w:szCs w:val="21"/>
                <w:highlight w:val="none"/>
                <w:lang w:bidi="ar"/>
              </w:rPr>
              <w:t>测评服务的测评对象是：</w:t>
            </w:r>
            <w:r>
              <w:rPr>
                <w:rFonts w:hint="eastAsia" w:ascii="宋体" w:hAnsi="宋体" w:cs="宋体"/>
                <w:color w:val="auto"/>
                <w:sz w:val="21"/>
                <w:szCs w:val="21"/>
                <w:highlight w:val="none"/>
              </w:rPr>
              <w:t>宁德市农村生产要素流转融资平台。</w:t>
            </w:r>
            <w:r>
              <w:rPr>
                <w:rFonts w:hint="eastAsia" w:ascii="宋体" w:hAnsi="宋体" w:cs="宋体"/>
                <w:color w:val="auto"/>
                <w:sz w:val="21"/>
                <w:szCs w:val="21"/>
                <w:highlight w:val="none"/>
                <w:lang w:bidi="ar"/>
              </w:rPr>
              <w:t>测评机构所出具的测评报告须达到福建省公安厅的相关要求。</w:t>
            </w:r>
            <w:r>
              <w:rPr>
                <w:rFonts w:hint="eastAsia" w:ascii="宋体" w:hAnsi="宋体" w:cs="宋体"/>
                <w:color w:val="auto"/>
                <w:sz w:val="21"/>
                <w:szCs w:val="21"/>
                <w:highlight w:val="none"/>
                <w:lang w:val="en-US" w:eastAsia="zh-CN" w:bidi="ar"/>
              </w:rPr>
              <w:t>详见磋商文件。</w:t>
            </w:r>
          </w:p>
        </w:tc>
        <w:tc>
          <w:tcPr>
            <w:tcW w:w="1823"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     </w:t>
            </w:r>
            <w:r>
              <w:rPr>
                <w:rFonts w:hint="eastAsia" w:ascii="宋体" w:hAnsi="宋体" w:cs="宋体"/>
                <w:color w:val="auto"/>
                <w:kern w:val="0"/>
                <w:szCs w:val="21"/>
                <w:highlight w:val="none"/>
                <w:lang w:bidi="ar"/>
              </w:rPr>
              <w:t>根据信息系统的保护等级，并依据 GB/T22239-2019《信息安全技术网络安全等级保护基本要求》、《信息系统安全等级保护测评准则》等相关标准的条款要求，对信息系统的安全保护等级进行测评</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详见磋商文件。</w:t>
            </w:r>
          </w:p>
        </w:tc>
        <w:tc>
          <w:tcPr>
            <w:tcW w:w="2551"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Autospacing="0" w:afterAutospacing="0" w:line="500" w:lineRule="exact"/>
              <w:jc w:val="left"/>
              <w:textAlignment w:val="auto"/>
              <w:rPr>
                <w:rFonts w:ascii="宋体" w:hAnsi="宋体" w:cs="宋体"/>
                <w:color w:val="auto"/>
                <w:szCs w:val="21"/>
                <w:highlight w:val="none"/>
              </w:rPr>
            </w:pPr>
            <w:r>
              <w:rPr>
                <w:rFonts w:hint="eastAsia" w:ascii="宋体" w:hAnsi="宋体" w:cs="宋体"/>
                <w:color w:val="auto"/>
                <w:kern w:val="0"/>
                <w:szCs w:val="21"/>
                <w:highlight w:val="none"/>
                <w:lang w:bidi="ar"/>
              </w:rPr>
              <w:t>合同签订后，根据采购人的工作要求，完成连续三年的安全等级保护咨询及测评工作，首次测评需在合同签约后4个月内完成，复测须在前次报告有效期内完成。</w:t>
            </w:r>
            <w:r>
              <w:rPr>
                <w:rFonts w:hint="eastAsia" w:ascii="宋体" w:hAnsi="宋体"/>
                <w:color w:val="auto"/>
                <w:szCs w:val="21"/>
                <w:highlight w:val="none"/>
              </w:rPr>
              <w:t>本次采购项目有效期为三年，服务期内供应商因自身问题无法按照要求完成等保测评服务，采购人有权</w:t>
            </w:r>
            <w:r>
              <w:rPr>
                <w:rFonts w:hint="eastAsia" w:ascii="宋体" w:hAnsi="宋体"/>
                <w:color w:val="auto"/>
                <w:szCs w:val="21"/>
                <w:highlight w:val="none"/>
                <w:lang w:val="en-US" w:eastAsia="zh-CN"/>
              </w:rPr>
              <w:t>终止合同</w:t>
            </w:r>
            <w:r>
              <w:rPr>
                <w:rFonts w:hint="eastAsia" w:ascii="宋体" w:hAnsi="宋体"/>
                <w:color w:val="auto"/>
                <w:szCs w:val="21"/>
                <w:highlight w:val="none"/>
              </w:rPr>
              <w:t>。</w:t>
            </w:r>
            <w:r>
              <w:rPr>
                <w:rFonts w:hint="eastAsia" w:ascii="宋体" w:hAnsi="宋体" w:cs="宋体"/>
                <w:color w:val="auto"/>
                <w:kern w:val="0"/>
                <w:szCs w:val="21"/>
                <w:highlight w:val="none"/>
                <w:lang w:val="en-US" w:eastAsia="zh-CN" w:bidi="ar"/>
              </w:rPr>
              <w:t>详见磋商文件。</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微软雅黑" w:hAnsi="微软雅黑" w:eastAsia="微软雅黑" w:cs="微软雅黑"/>
                <w:i w:val="0"/>
                <w:iCs w:val="0"/>
                <w:caps w:val="0"/>
                <w:color w:val="383838"/>
                <w:spacing w:val="0"/>
                <w:sz w:val="21"/>
                <w:szCs w:val="21"/>
              </w:rPr>
            </w:pPr>
          </w:p>
        </w:tc>
        <w:tc>
          <w:tcPr>
            <w:tcW w:w="1811" w:type="dxa"/>
            <w:tcBorders>
              <w:top w:val="outset" w:color="auto" w:sz="6"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color w:val="auto"/>
                <w:szCs w:val="21"/>
                <w:highlight w:val="none"/>
              </w:rPr>
            </w:pPr>
            <w:r>
              <w:rPr>
                <w:rFonts w:hint="eastAsia" w:ascii="微软雅黑" w:hAnsi="微软雅黑" w:eastAsia="微软雅黑" w:cs="微软雅黑"/>
                <w:i w:val="0"/>
                <w:iCs w:val="0"/>
                <w:caps w:val="0"/>
                <w:color w:val="383838"/>
                <w:spacing w:val="0"/>
                <w:kern w:val="0"/>
                <w:sz w:val="21"/>
                <w:szCs w:val="21"/>
                <w:lang w:val="en-US" w:eastAsia="zh-CN" w:bidi="ar"/>
              </w:rPr>
              <w:t>  </w:t>
            </w:r>
            <w:r>
              <w:rPr>
                <w:rFonts w:hint="eastAsia" w:ascii="宋体" w:hAnsi="宋体" w:cs="宋体"/>
                <w:color w:val="auto"/>
                <w:kern w:val="0"/>
                <w:szCs w:val="21"/>
                <w:highlight w:val="none"/>
                <w:lang w:bidi="ar"/>
              </w:rPr>
              <w:t>项目实施参照标准及依据：</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《信息安全技术网络安全等级保护基本要求》（GB/T22239-2019） </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《信息安全技术网络安全等级保护测评要求》（GB/T28448-2019）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微软雅黑" w:hAnsi="微软雅黑" w:eastAsia="微软雅黑" w:cs="微软雅黑"/>
                <w:i w:val="0"/>
                <w:iCs w:val="0"/>
                <w:caps w:val="0"/>
                <w:color w:val="383838"/>
                <w:spacing w:val="0"/>
                <w:sz w:val="21"/>
                <w:szCs w:val="21"/>
                <w:lang w:val="en-US" w:eastAsia="zh-CN"/>
              </w:rPr>
            </w:pPr>
            <w:r>
              <w:rPr>
                <w:rFonts w:hint="eastAsia" w:ascii="微软雅黑" w:hAnsi="微软雅黑" w:eastAsia="微软雅黑" w:cs="微软雅黑"/>
                <w:i w:val="0"/>
                <w:iCs w:val="0"/>
                <w:caps w:val="0"/>
                <w:color w:val="383838"/>
                <w:spacing w:val="0"/>
                <w:sz w:val="21"/>
                <w:szCs w:val="21"/>
                <w:lang w:val="en-US" w:eastAsia="zh-CN"/>
              </w:rPr>
              <w:t>等，</w:t>
            </w:r>
            <w:r>
              <w:rPr>
                <w:rFonts w:hint="eastAsia" w:ascii="宋体" w:hAnsi="宋体" w:cs="宋体"/>
                <w:color w:val="auto"/>
                <w:kern w:val="0"/>
                <w:szCs w:val="21"/>
                <w:highlight w:val="none"/>
                <w:lang w:val="en-US" w:eastAsia="zh-CN" w:bidi="ar"/>
              </w:rPr>
              <w:t>详见磋商文件。</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645"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cs="宋体" w:eastAsiaTheme="minorEastAsia"/>
                <w:i w:val="0"/>
                <w:iCs w:val="0"/>
                <w:caps w:val="0"/>
                <w:color w:val="auto"/>
                <w:spacing w:val="0"/>
                <w:sz w:val="21"/>
                <w:szCs w:val="21"/>
                <w:highlight w:val="none"/>
                <w:lang w:val="en-US" w:bidi="ar"/>
              </w:rPr>
            </w:pPr>
            <w:r>
              <w:rPr>
                <w:rFonts w:hint="eastAsia" w:ascii="宋体" w:hAnsi="宋体" w:cs="宋体" w:eastAsiaTheme="minorEastAsia"/>
                <w:i w:val="0"/>
                <w:iCs w:val="0"/>
                <w:caps w:val="0"/>
                <w:color w:val="auto"/>
                <w:spacing w:val="0"/>
                <w:kern w:val="2"/>
                <w:sz w:val="21"/>
                <w:szCs w:val="21"/>
                <w:highlight w:val="none"/>
                <w:lang w:val="en-US" w:eastAsia="zh-CN" w:bidi="ar"/>
              </w:rPr>
              <w:t> 2</w:t>
            </w:r>
          </w:p>
        </w:tc>
        <w:tc>
          <w:tcPr>
            <w:tcW w:w="663"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cs="宋体" w:eastAsiaTheme="minorEastAsia"/>
                <w:i w:val="0"/>
                <w:iCs w:val="0"/>
                <w:caps w:val="0"/>
                <w:color w:val="auto"/>
                <w:spacing w:val="0"/>
                <w:sz w:val="21"/>
                <w:szCs w:val="21"/>
                <w:highlight w:val="none"/>
                <w:lang w:bidi="ar"/>
              </w:rPr>
            </w:pPr>
            <w:r>
              <w:rPr>
                <w:rFonts w:hint="eastAsia" w:ascii="宋体" w:hAnsi="宋体" w:cs="宋体" w:eastAsiaTheme="minorEastAsia"/>
                <w:i w:val="0"/>
                <w:iCs w:val="0"/>
                <w:caps w:val="0"/>
                <w:color w:val="auto"/>
                <w:spacing w:val="0"/>
                <w:kern w:val="2"/>
                <w:sz w:val="21"/>
                <w:szCs w:val="21"/>
                <w:highlight w:val="none"/>
                <w:lang w:val="en-US" w:eastAsia="zh-CN" w:bidi="ar"/>
              </w:rPr>
              <w:t> </w:t>
            </w:r>
            <w:r>
              <w:rPr>
                <w:rFonts w:hint="eastAsia" w:ascii="宋体" w:hAnsi="宋体" w:cs="宋体" w:eastAsiaTheme="minorEastAsia"/>
                <w:i w:val="0"/>
                <w:iCs w:val="0"/>
                <w:caps w:val="0"/>
                <w:color w:val="auto"/>
                <w:spacing w:val="0"/>
                <w:sz w:val="21"/>
                <w:szCs w:val="21"/>
                <w:highlight w:val="none"/>
                <w:shd w:val="clear"/>
                <w:vertAlign w:val="baseline"/>
                <w:lang w:bidi="ar"/>
              </w:rPr>
              <w:t>中国电信股份有限公司宁德分公司</w:t>
            </w:r>
          </w:p>
        </w:tc>
        <w:tc>
          <w:tcPr>
            <w:tcW w:w="1032"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宋体" w:hAnsi="宋体" w:cs="宋体" w:eastAsiaTheme="minorEastAsia"/>
                <w:i w:val="0"/>
                <w:iCs w:val="0"/>
                <w:caps w:val="0"/>
                <w:color w:val="auto"/>
                <w:spacing w:val="0"/>
                <w:sz w:val="21"/>
                <w:szCs w:val="21"/>
                <w:highlight w:val="none"/>
                <w:lang w:bidi="ar"/>
              </w:rPr>
            </w:pPr>
            <w:r>
              <w:rPr>
                <w:rFonts w:hint="eastAsia" w:ascii="宋体" w:hAnsi="宋体" w:cs="宋体" w:eastAsiaTheme="minorEastAsia"/>
                <w:i w:val="0"/>
                <w:iCs w:val="0"/>
                <w:caps w:val="0"/>
                <w:color w:val="auto"/>
                <w:spacing w:val="0"/>
                <w:kern w:val="2"/>
                <w:sz w:val="21"/>
                <w:szCs w:val="21"/>
                <w:highlight w:val="none"/>
                <w:lang w:val="en-US" w:eastAsia="zh-CN" w:bidi="ar"/>
              </w:rPr>
              <w:t> </w:t>
            </w:r>
            <w:r>
              <w:rPr>
                <w:rFonts w:hint="eastAsia" w:ascii="宋体" w:hAnsi="宋体" w:cs="宋体"/>
                <w:color w:val="auto"/>
                <w:sz w:val="21"/>
                <w:szCs w:val="21"/>
                <w:highlight w:val="none"/>
                <w:lang w:bidi="ar"/>
              </w:rPr>
              <w:t>宁德市普惠金融信用信息平台三级等保测评服务</w:t>
            </w:r>
          </w:p>
        </w:tc>
        <w:tc>
          <w:tcPr>
            <w:tcW w:w="1590"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 </w:t>
            </w:r>
            <w:r>
              <w:rPr>
                <w:rFonts w:hint="eastAsia" w:ascii="宋体" w:hAnsi="宋体" w:cs="宋体"/>
                <w:color w:val="auto"/>
                <w:sz w:val="21"/>
                <w:szCs w:val="21"/>
                <w:highlight w:val="none"/>
                <w:lang w:bidi="ar"/>
              </w:rPr>
              <w:t>本次进行信息安全等级保护</w:t>
            </w:r>
            <w:r>
              <w:rPr>
                <w:rFonts w:hint="eastAsia" w:ascii="宋体" w:hAnsi="宋体" w:cs="宋体"/>
                <w:color w:val="auto"/>
                <w:sz w:val="21"/>
                <w:szCs w:val="21"/>
                <w:highlight w:val="none"/>
              </w:rPr>
              <w:t>咨询及</w:t>
            </w:r>
            <w:r>
              <w:rPr>
                <w:rFonts w:hint="eastAsia" w:ascii="宋体" w:hAnsi="宋体" w:cs="宋体"/>
                <w:color w:val="auto"/>
                <w:sz w:val="21"/>
                <w:szCs w:val="21"/>
                <w:highlight w:val="none"/>
                <w:lang w:bidi="ar"/>
              </w:rPr>
              <w:t>测评服务的测评对象是：</w:t>
            </w:r>
            <w:r>
              <w:rPr>
                <w:rFonts w:hint="eastAsia"/>
                <w:color w:val="auto"/>
                <w:highlight w:val="none"/>
              </w:rPr>
              <w:t>宁德市普惠金融信用信息平台</w:t>
            </w:r>
            <w:r>
              <w:rPr>
                <w:rFonts w:hint="eastAsia" w:ascii="宋体" w:hAnsi="宋体" w:cs="宋体"/>
                <w:color w:val="auto"/>
                <w:sz w:val="21"/>
                <w:szCs w:val="21"/>
                <w:highlight w:val="none"/>
              </w:rPr>
              <w:t>。</w:t>
            </w:r>
            <w:r>
              <w:rPr>
                <w:rFonts w:hint="eastAsia" w:ascii="宋体" w:hAnsi="宋体" w:cs="宋体"/>
                <w:color w:val="auto"/>
                <w:sz w:val="21"/>
                <w:szCs w:val="21"/>
                <w:highlight w:val="none"/>
                <w:lang w:bidi="ar"/>
              </w:rPr>
              <w:t>测评机构所出具的测评报告须达到福建省公安厅的相关要求。</w:t>
            </w:r>
            <w:r>
              <w:rPr>
                <w:rFonts w:hint="eastAsia" w:ascii="宋体" w:hAnsi="宋体" w:cs="宋体"/>
                <w:color w:val="auto"/>
                <w:kern w:val="0"/>
                <w:szCs w:val="21"/>
                <w:highlight w:val="none"/>
                <w:lang w:val="en-US" w:eastAsia="zh-CN" w:bidi="ar"/>
              </w:rPr>
              <w:t>详见磋商文件。</w:t>
            </w:r>
          </w:p>
        </w:tc>
        <w:tc>
          <w:tcPr>
            <w:tcW w:w="1823"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kern w:val="0"/>
                <w:sz w:val="21"/>
                <w:szCs w:val="21"/>
                <w:lang w:val="en-US" w:eastAsia="zh-CN" w:bidi="ar"/>
              </w:rPr>
              <w:t> </w:t>
            </w:r>
            <w:r>
              <w:rPr>
                <w:rFonts w:hint="eastAsia" w:ascii="宋体" w:hAnsi="宋体" w:cs="宋体"/>
                <w:color w:val="auto"/>
                <w:kern w:val="0"/>
                <w:szCs w:val="21"/>
                <w:highlight w:val="none"/>
                <w:lang w:bidi="ar"/>
              </w:rPr>
              <w:t>根据信息系统的保护等级，并依据 GB/T22239-2019《信息安全技术网络安全等级保护基本要求》、《信息系统安全等级保护测评准则》等相关标准的条款要求，对信息系统的安全保护等级进行测评</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详见磋商文件。</w:t>
            </w:r>
          </w:p>
        </w:tc>
        <w:tc>
          <w:tcPr>
            <w:tcW w:w="255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beforeAutospacing="0" w:afterAutospacing="0" w:line="500" w:lineRule="exact"/>
              <w:jc w:val="left"/>
              <w:textAlignment w:val="auto"/>
              <w:rPr>
                <w:rFonts w:hint="eastAsia" w:ascii="宋体" w:hAnsi="宋体" w:cs="宋体" w:eastAsiaTheme="minorEastAsia"/>
                <w:color w:val="auto"/>
                <w:szCs w:val="21"/>
                <w:highlight w:val="none"/>
                <w:lang w:val="en-US" w:eastAsia="zh-CN"/>
              </w:rPr>
            </w:pPr>
            <w:r>
              <w:rPr>
                <w:rFonts w:hint="eastAsia" w:ascii="微软雅黑" w:hAnsi="微软雅黑" w:eastAsia="微软雅黑" w:cs="微软雅黑"/>
                <w:i w:val="0"/>
                <w:iCs w:val="0"/>
                <w:caps w:val="0"/>
                <w:color w:val="383838"/>
                <w:spacing w:val="0"/>
                <w:kern w:val="0"/>
                <w:sz w:val="21"/>
                <w:szCs w:val="21"/>
                <w:lang w:val="en-US" w:eastAsia="zh-CN" w:bidi="ar"/>
              </w:rPr>
              <w:t> </w:t>
            </w:r>
            <w:r>
              <w:rPr>
                <w:rFonts w:hint="eastAsia" w:ascii="宋体" w:hAnsi="宋体" w:cs="宋体"/>
                <w:color w:val="auto"/>
                <w:kern w:val="0"/>
                <w:szCs w:val="21"/>
                <w:highlight w:val="none"/>
                <w:lang w:bidi="ar"/>
              </w:rPr>
              <w:t>合同签订后，根据采购人的工作要求，完成连续三年的安全等级保护咨询及测评工作，首次测评需在合同签约后4个月内完成，复测须在前次报告有效期内完成。</w:t>
            </w:r>
            <w:r>
              <w:rPr>
                <w:rFonts w:hint="eastAsia" w:ascii="宋体" w:hAnsi="宋体"/>
                <w:color w:val="auto"/>
                <w:szCs w:val="21"/>
                <w:highlight w:val="none"/>
              </w:rPr>
              <w:t>本次采购项目有效期为三年，服务期内供应商因自身问题无法按照要求完成等保测评服务，采购人有权</w:t>
            </w:r>
            <w:r>
              <w:rPr>
                <w:rFonts w:hint="eastAsia" w:ascii="宋体" w:hAnsi="宋体"/>
                <w:color w:val="auto"/>
                <w:szCs w:val="21"/>
                <w:highlight w:val="none"/>
                <w:lang w:val="en-US" w:eastAsia="zh-CN"/>
              </w:rPr>
              <w:t>终止合同</w:t>
            </w:r>
            <w:r>
              <w:rPr>
                <w:rFonts w:hint="eastAsia" w:ascii="宋体" w:hAnsi="宋体"/>
                <w:color w:val="auto"/>
                <w:szCs w:val="21"/>
                <w:highlight w:val="none"/>
              </w:rPr>
              <w:t>。</w:t>
            </w:r>
            <w:r>
              <w:rPr>
                <w:rFonts w:hint="eastAsia" w:ascii="宋体" w:hAnsi="宋体" w:cs="宋体"/>
                <w:color w:val="auto"/>
                <w:kern w:val="0"/>
                <w:szCs w:val="21"/>
                <w:highlight w:val="none"/>
                <w:lang w:val="en-US" w:eastAsia="zh-CN" w:bidi="ar"/>
              </w:rPr>
              <w:t>详见磋商文件。</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微软雅黑" w:hAnsi="微软雅黑" w:eastAsia="微软雅黑" w:cs="微软雅黑"/>
                <w:i w:val="0"/>
                <w:iCs w:val="0"/>
                <w:caps w:val="0"/>
                <w:color w:val="383838"/>
                <w:spacing w:val="0"/>
                <w:sz w:val="21"/>
                <w:szCs w:val="21"/>
              </w:rPr>
            </w:pPr>
          </w:p>
        </w:tc>
        <w:tc>
          <w:tcPr>
            <w:tcW w:w="1811" w:type="dxa"/>
            <w:tcBorders>
              <w:top w:val="outset" w:color="auto" w:sz="6" w:space="0"/>
              <w:left w:val="outset" w:color="auto" w:sz="6" w:space="0"/>
              <w:bottom w:val="outset" w:color="auto" w:sz="6" w:space="0"/>
              <w:right w:val="outset" w:color="auto" w:sz="6" w:space="0"/>
            </w:tcBorders>
            <w:shd w:val="clear" w:color="auto" w:fill="FFFFFF"/>
            <w:tcMar>
              <w:top w:w="75" w:type="dxa"/>
              <w:left w:w="75" w:type="dxa"/>
              <w:bottom w:w="75" w:type="dxa"/>
              <w:right w:w="75" w:type="dxa"/>
            </w:tcMar>
            <w:vAlign w:val="center"/>
          </w:tcPr>
          <w:p>
            <w:pPr>
              <w:keepNext w:val="0"/>
              <w:keepLines w:val="0"/>
              <w:pageBreakBefore w:val="0"/>
              <w:widowControl/>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color w:val="auto"/>
                <w:szCs w:val="21"/>
                <w:highlight w:val="none"/>
              </w:rPr>
            </w:pPr>
            <w:r>
              <w:rPr>
                <w:rFonts w:hint="eastAsia" w:ascii="微软雅黑" w:hAnsi="微软雅黑" w:eastAsia="微软雅黑" w:cs="微软雅黑"/>
                <w:i w:val="0"/>
                <w:iCs w:val="0"/>
                <w:caps w:val="0"/>
                <w:color w:val="383838"/>
                <w:spacing w:val="0"/>
                <w:kern w:val="0"/>
                <w:sz w:val="21"/>
                <w:szCs w:val="21"/>
                <w:lang w:val="en-US" w:eastAsia="zh-CN" w:bidi="ar"/>
              </w:rPr>
              <w:t>   </w:t>
            </w:r>
            <w:r>
              <w:rPr>
                <w:rFonts w:hint="eastAsia" w:ascii="宋体" w:hAnsi="宋体" w:cs="宋体"/>
                <w:color w:val="auto"/>
                <w:kern w:val="0"/>
                <w:szCs w:val="21"/>
                <w:highlight w:val="none"/>
                <w:lang w:bidi="ar"/>
              </w:rPr>
              <w:t>项目实施参照标准及依据：</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《信息安全技术网络安全等级保护基本要求》（GB/T22239-2019） </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cs="宋体"/>
                <w:color w:val="auto"/>
                <w:szCs w:val="21"/>
                <w:highlight w:val="none"/>
              </w:rPr>
            </w:pPr>
            <w:r>
              <w:rPr>
                <w:rFonts w:hint="eastAsia" w:ascii="宋体" w:hAnsi="宋体" w:cs="宋体"/>
                <w:color w:val="auto"/>
                <w:kern w:val="0"/>
                <w:szCs w:val="21"/>
                <w:highlight w:val="none"/>
                <w:lang w:bidi="ar"/>
              </w:rPr>
              <w:t xml:space="preserve">《信息安全技术网络安全等级保护测评要求》（GB/T28448-2019）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lang w:val="en-US" w:eastAsia="zh-CN"/>
              </w:rPr>
              <w:t>等，</w:t>
            </w:r>
            <w:r>
              <w:rPr>
                <w:rFonts w:hint="eastAsia" w:ascii="宋体" w:hAnsi="宋体" w:cs="宋体"/>
                <w:color w:val="auto"/>
                <w:kern w:val="0"/>
                <w:szCs w:val="21"/>
                <w:highlight w:val="none"/>
                <w:lang w:val="en-US" w:eastAsia="zh-CN" w:bidi="ar"/>
              </w:rPr>
              <w:t>详见磋商文件。</w:t>
            </w:r>
          </w:p>
        </w:tc>
      </w:tr>
    </w:tbl>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Style w:val="8"/>
          <w:rFonts w:hint="eastAsia" w:ascii="微软雅黑" w:hAnsi="微软雅黑" w:eastAsia="微软雅黑" w:cs="微软雅黑"/>
          <w:b/>
          <w:bCs/>
          <w:i w:val="0"/>
          <w:iCs w:val="0"/>
          <w:caps w:val="0"/>
          <w:color w:val="383838"/>
          <w:spacing w:val="0"/>
          <w:sz w:val="21"/>
          <w:szCs w:val="21"/>
          <w:shd w:val="clear" w:fill="FFFFFF"/>
          <w:vertAlign w:val="baseline"/>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评审专家（单一来源采购人员）名单：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auto"/>
        <w:rPr>
          <w:rFonts w:hint="eastAsia" w:ascii="宋体" w:hAnsi="宋体" w:eastAsia="宋体" w:cs="宋体"/>
          <w:i w:val="0"/>
          <w:iCs w:val="0"/>
          <w:caps w:val="0"/>
          <w:color w:val="111111"/>
          <w:spacing w:val="0"/>
          <w:sz w:val="24"/>
          <w:szCs w:val="24"/>
          <w:u w:val="none"/>
          <w:shd w:val="clear" w:fill="FFFFFF"/>
        </w:rPr>
      </w:pPr>
      <w:r>
        <w:rPr>
          <w:rFonts w:hint="eastAsia" w:ascii="宋体" w:hAnsi="宋体" w:eastAsia="宋体" w:cs="宋体"/>
          <w:i w:val="0"/>
          <w:iCs w:val="0"/>
          <w:caps w:val="0"/>
          <w:color w:val="111111"/>
          <w:spacing w:val="0"/>
          <w:sz w:val="24"/>
          <w:szCs w:val="24"/>
          <w:u w:val="none"/>
          <w:shd w:val="clear" w:fill="FFFFFF"/>
        </w:rPr>
        <w:t>肖晓翔、李康祥、王子诚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Style w:val="8"/>
          <w:rFonts w:hint="eastAsia" w:ascii="微软雅黑" w:hAnsi="微软雅黑" w:eastAsia="微软雅黑" w:cs="微软雅黑"/>
          <w:b/>
          <w:bCs/>
          <w:i w:val="0"/>
          <w:iCs w:val="0"/>
          <w:caps w:val="0"/>
          <w:color w:val="383838"/>
          <w:spacing w:val="0"/>
          <w:sz w:val="21"/>
          <w:szCs w:val="21"/>
          <w:shd w:val="clear" w:fill="FFFFFF"/>
          <w:vertAlign w:val="baseline"/>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六、代理服务收费标准及金额：</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default" w:ascii="宋体" w:hAnsi="宋体" w:eastAsia="宋体" w:cs="宋体"/>
          <w:i w:val="0"/>
          <w:iCs w:val="0"/>
          <w:caps w:val="0"/>
          <w:color w:val="111111"/>
          <w:spacing w:val="0"/>
          <w:sz w:val="24"/>
          <w:szCs w:val="24"/>
          <w:u w:val="none"/>
          <w:shd w:val="clear" w:fill="FFFFFF"/>
          <w:lang w:val="en-US" w:eastAsia="zh-CN"/>
        </w:rPr>
      </w:pPr>
      <w:r>
        <w:rPr>
          <w:rFonts w:hint="eastAsia" w:ascii="宋体" w:hAnsi="宋体" w:eastAsia="宋体" w:cs="宋体"/>
          <w:i w:val="0"/>
          <w:iCs w:val="0"/>
          <w:caps w:val="0"/>
          <w:color w:val="111111"/>
          <w:spacing w:val="0"/>
          <w:sz w:val="24"/>
          <w:szCs w:val="24"/>
          <w:u w:val="none"/>
          <w:shd w:val="clear" w:fill="FFFFFF"/>
          <w:lang w:val="en-US" w:eastAsia="zh-CN"/>
        </w:rPr>
        <w:t>采购包1：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auto"/>
        <w:rPr>
          <w:rFonts w:hint="eastAsia" w:ascii="宋体" w:hAnsi="宋体" w:eastAsia="宋体" w:cs="宋体"/>
          <w:i w:val="0"/>
          <w:iCs w:val="0"/>
          <w:caps w:val="0"/>
          <w:color w:val="111111"/>
          <w:spacing w:val="0"/>
          <w:sz w:val="24"/>
          <w:szCs w:val="24"/>
          <w:u w:val="none"/>
          <w:lang w:eastAsia="zh-CN"/>
        </w:rPr>
      </w:pPr>
      <w:r>
        <w:rPr>
          <w:rFonts w:hint="eastAsia" w:ascii="宋体" w:hAnsi="宋体" w:eastAsia="宋体" w:cs="宋体"/>
          <w:i w:val="0"/>
          <w:iCs w:val="0"/>
          <w:caps w:val="0"/>
          <w:color w:val="111111"/>
          <w:spacing w:val="0"/>
          <w:sz w:val="24"/>
          <w:szCs w:val="24"/>
          <w:u w:val="none"/>
          <w:shd w:val="clear" w:fill="FFFFFF"/>
        </w:rPr>
        <w:t>代理费收费标准：采购代理服务费由</w:t>
      </w:r>
      <w:r>
        <w:rPr>
          <w:rFonts w:hint="eastAsia" w:ascii="宋体" w:hAnsi="宋体" w:eastAsia="宋体" w:cs="宋体"/>
          <w:i w:val="0"/>
          <w:iCs w:val="0"/>
          <w:caps w:val="0"/>
          <w:color w:val="111111"/>
          <w:spacing w:val="0"/>
          <w:sz w:val="24"/>
          <w:szCs w:val="24"/>
          <w:u w:val="none"/>
          <w:shd w:val="clear" w:fill="FFFFFF"/>
          <w:lang w:val="en-US" w:eastAsia="zh-CN"/>
        </w:rPr>
        <w:t>成交人</w:t>
      </w:r>
      <w:r>
        <w:rPr>
          <w:rFonts w:hint="eastAsia" w:ascii="宋体" w:hAnsi="宋体" w:eastAsia="宋体" w:cs="宋体"/>
          <w:i w:val="0"/>
          <w:iCs w:val="0"/>
          <w:caps w:val="0"/>
          <w:color w:val="111111"/>
          <w:spacing w:val="0"/>
          <w:sz w:val="24"/>
          <w:szCs w:val="24"/>
          <w:u w:val="none"/>
          <w:shd w:val="clear" w:fill="FFFFFF"/>
        </w:rPr>
        <w:t>支付</w:t>
      </w:r>
      <w:r>
        <w:rPr>
          <w:rFonts w:hint="eastAsia" w:ascii="宋体" w:hAnsi="宋体" w:eastAsia="宋体" w:cs="宋体"/>
          <w:i w:val="0"/>
          <w:iCs w:val="0"/>
          <w:caps w:val="0"/>
          <w:color w:val="111111"/>
          <w:spacing w:val="0"/>
          <w:sz w:val="24"/>
          <w:szCs w:val="24"/>
          <w:u w:val="none"/>
          <w:shd w:val="clear" w:fill="FFFFFF"/>
          <w:lang w:eastAsia="zh-CN"/>
        </w:rPr>
        <w:t>，</w:t>
      </w:r>
      <w:r>
        <w:rPr>
          <w:rStyle w:val="8"/>
          <w:rFonts w:hint="eastAsia" w:ascii="宋体" w:hAnsi="宋体" w:eastAsia="宋体" w:cs="宋体"/>
          <w:b w:val="0"/>
          <w:bCs/>
          <w:color w:val="auto"/>
          <w:szCs w:val="21"/>
          <w:highlight w:val="none"/>
        </w:rPr>
        <w:t>成交总金额100万元以下按金额的1.5%收取</w:t>
      </w:r>
      <w:r>
        <w:rPr>
          <w:rStyle w:val="8"/>
          <w:rFonts w:hint="eastAsia" w:ascii="宋体" w:hAnsi="宋体" w:eastAsia="宋体" w:cs="宋体"/>
          <w:b w:val="0"/>
          <w:bCs/>
          <w:color w:val="auto"/>
          <w:szCs w:val="21"/>
          <w:highlight w:val="none"/>
          <w:lang w:eastAsia="zh-CN"/>
        </w:rPr>
        <w:t>。</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auto"/>
        <w:rPr>
          <w:rStyle w:val="8"/>
          <w:rFonts w:hint="eastAsia" w:ascii="宋体" w:hAnsi="宋体" w:eastAsia="宋体" w:cs="宋体"/>
          <w:b w:val="0"/>
          <w:bCs/>
          <w:i w:val="0"/>
          <w:iCs w:val="0"/>
          <w:caps w:val="0"/>
          <w:color w:val="auto"/>
          <w:spacing w:val="0"/>
          <w:sz w:val="24"/>
          <w:szCs w:val="24"/>
          <w:u w:val="none"/>
          <w:shd w:val="clear" w:fill="FFFFFF"/>
          <w:lang w:val="en-US" w:eastAsia="zh-CN"/>
        </w:rPr>
      </w:pPr>
      <w:r>
        <w:rPr>
          <w:rStyle w:val="8"/>
          <w:rFonts w:hint="eastAsia" w:ascii="宋体" w:hAnsi="宋体" w:eastAsia="宋体" w:cs="宋体"/>
          <w:b w:val="0"/>
          <w:bCs/>
          <w:i w:val="0"/>
          <w:iCs w:val="0"/>
          <w:caps w:val="0"/>
          <w:color w:val="111111"/>
          <w:spacing w:val="0"/>
          <w:sz w:val="24"/>
          <w:szCs w:val="24"/>
          <w:u w:val="none"/>
          <w:shd w:val="clear" w:fill="FFFFFF"/>
        </w:rPr>
        <w:t>代理费金</w:t>
      </w:r>
      <w:r>
        <w:rPr>
          <w:rStyle w:val="8"/>
          <w:rFonts w:hint="eastAsia" w:ascii="宋体" w:hAnsi="宋体" w:eastAsia="宋体" w:cs="宋体"/>
          <w:b w:val="0"/>
          <w:bCs/>
          <w:i w:val="0"/>
          <w:iCs w:val="0"/>
          <w:caps w:val="0"/>
          <w:color w:val="auto"/>
          <w:spacing w:val="0"/>
          <w:sz w:val="24"/>
          <w:szCs w:val="24"/>
          <w:u w:val="none"/>
          <w:shd w:val="clear" w:fill="FFFFFF"/>
        </w:rPr>
        <w:t>额：</w:t>
      </w:r>
      <w:r>
        <w:rPr>
          <w:rStyle w:val="8"/>
          <w:rFonts w:hint="eastAsia" w:ascii="宋体" w:hAnsi="宋体" w:eastAsia="宋体" w:cs="宋体"/>
          <w:b w:val="0"/>
          <w:bCs/>
          <w:i w:val="0"/>
          <w:iCs w:val="0"/>
          <w:caps w:val="0"/>
          <w:color w:val="auto"/>
          <w:spacing w:val="0"/>
          <w:sz w:val="24"/>
          <w:szCs w:val="24"/>
          <w:u w:val="none"/>
          <w:shd w:val="clear" w:fill="FFFFFF"/>
          <w:lang w:val="en-US" w:eastAsia="zh-CN"/>
        </w:rPr>
        <w:t>0.4719万元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auto"/>
        <w:rPr>
          <w:rStyle w:val="8"/>
          <w:rFonts w:hint="eastAsia" w:ascii="宋体" w:hAnsi="宋体" w:eastAsia="宋体" w:cs="宋体"/>
          <w:b w:val="0"/>
          <w:bCs/>
          <w:i w:val="0"/>
          <w:iCs w:val="0"/>
          <w:caps w:val="0"/>
          <w:color w:val="auto"/>
          <w:spacing w:val="0"/>
          <w:sz w:val="24"/>
          <w:szCs w:val="24"/>
          <w:u w:val="none"/>
          <w:shd w:val="clear" w:fill="FFFFFF"/>
          <w:lang w:val="en-US" w:eastAsia="zh-CN"/>
        </w:rPr>
      </w:pPr>
      <w:r>
        <w:rPr>
          <w:rStyle w:val="8"/>
          <w:rFonts w:hint="eastAsia" w:ascii="宋体" w:hAnsi="宋体" w:eastAsia="宋体" w:cs="宋体"/>
          <w:b w:val="0"/>
          <w:bCs/>
          <w:i w:val="0"/>
          <w:iCs w:val="0"/>
          <w:caps w:val="0"/>
          <w:color w:val="auto"/>
          <w:spacing w:val="0"/>
          <w:sz w:val="24"/>
          <w:szCs w:val="24"/>
          <w:u w:val="none"/>
          <w:shd w:val="clear" w:fill="FFFFFF"/>
          <w:lang w:val="en-US" w:eastAsia="zh-CN"/>
        </w:rPr>
        <w:t>采购包2：</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auto"/>
        <w:rPr>
          <w:rFonts w:hint="eastAsia" w:ascii="宋体" w:hAnsi="宋体" w:cs="宋体" w:eastAsiaTheme="minorEastAsia"/>
          <w:i w:val="0"/>
          <w:iCs w:val="0"/>
          <w:caps w:val="0"/>
          <w:color w:val="111111"/>
          <w:spacing w:val="0"/>
          <w:sz w:val="24"/>
          <w:szCs w:val="24"/>
          <w:u w:val="none"/>
          <w:lang w:eastAsia="zh-CN"/>
        </w:rPr>
      </w:pPr>
      <w:r>
        <w:rPr>
          <w:rFonts w:hint="eastAsia" w:ascii="宋体" w:hAnsi="宋体" w:eastAsia="宋体" w:cs="宋体"/>
          <w:i w:val="0"/>
          <w:iCs w:val="0"/>
          <w:caps w:val="0"/>
          <w:color w:val="111111"/>
          <w:spacing w:val="0"/>
          <w:sz w:val="24"/>
          <w:szCs w:val="24"/>
          <w:u w:val="none"/>
          <w:shd w:val="clear" w:fill="FFFFFF"/>
        </w:rPr>
        <w:t>代理费收费标准：采购代理服务费由</w:t>
      </w:r>
      <w:r>
        <w:rPr>
          <w:rFonts w:hint="eastAsia" w:ascii="宋体" w:hAnsi="宋体" w:eastAsia="宋体" w:cs="宋体"/>
          <w:i w:val="0"/>
          <w:iCs w:val="0"/>
          <w:caps w:val="0"/>
          <w:color w:val="111111"/>
          <w:spacing w:val="0"/>
          <w:sz w:val="24"/>
          <w:szCs w:val="24"/>
          <w:u w:val="none"/>
          <w:shd w:val="clear" w:fill="FFFFFF"/>
          <w:lang w:val="en-US" w:eastAsia="zh-CN"/>
        </w:rPr>
        <w:t>成交人</w:t>
      </w:r>
      <w:r>
        <w:rPr>
          <w:rFonts w:hint="eastAsia" w:ascii="宋体" w:hAnsi="宋体" w:eastAsia="宋体" w:cs="宋体"/>
          <w:i w:val="0"/>
          <w:iCs w:val="0"/>
          <w:caps w:val="0"/>
          <w:color w:val="111111"/>
          <w:spacing w:val="0"/>
          <w:sz w:val="24"/>
          <w:szCs w:val="24"/>
          <w:u w:val="none"/>
          <w:shd w:val="clear" w:fill="FFFFFF"/>
        </w:rPr>
        <w:t>支付</w:t>
      </w:r>
      <w:r>
        <w:rPr>
          <w:rFonts w:hint="eastAsia" w:ascii="宋体" w:hAnsi="宋体" w:eastAsia="宋体" w:cs="宋体"/>
          <w:i w:val="0"/>
          <w:iCs w:val="0"/>
          <w:caps w:val="0"/>
          <w:color w:val="111111"/>
          <w:spacing w:val="0"/>
          <w:sz w:val="24"/>
          <w:szCs w:val="24"/>
          <w:u w:val="none"/>
          <w:shd w:val="clear" w:fill="FFFFFF"/>
          <w:lang w:eastAsia="zh-CN"/>
        </w:rPr>
        <w:t>，</w:t>
      </w:r>
      <w:r>
        <w:rPr>
          <w:rStyle w:val="8"/>
          <w:rFonts w:hint="eastAsia" w:ascii="宋体" w:hAnsi="宋体" w:cs="宋体"/>
          <w:b w:val="0"/>
          <w:bCs/>
          <w:color w:val="auto"/>
          <w:szCs w:val="21"/>
          <w:highlight w:val="none"/>
        </w:rPr>
        <w:t>成交总金额100万元以下按金额的1.5%收取</w:t>
      </w:r>
      <w:r>
        <w:rPr>
          <w:rStyle w:val="8"/>
          <w:rFonts w:hint="eastAsia" w:ascii="宋体" w:hAnsi="宋体" w:cs="宋体"/>
          <w:b w:val="0"/>
          <w:bCs/>
          <w:color w:val="auto"/>
          <w:szCs w:val="21"/>
          <w:highlight w:val="none"/>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auto"/>
        <w:rPr>
          <w:rStyle w:val="8"/>
          <w:rFonts w:hint="default" w:ascii="宋体" w:hAnsi="宋体" w:eastAsia="宋体" w:cs="宋体"/>
          <w:b w:val="0"/>
          <w:bCs/>
          <w:i w:val="0"/>
          <w:iCs w:val="0"/>
          <w:caps w:val="0"/>
          <w:color w:val="auto"/>
          <w:spacing w:val="0"/>
          <w:sz w:val="24"/>
          <w:szCs w:val="24"/>
          <w:u w:val="none"/>
          <w:shd w:val="clear" w:fill="FFFFFF"/>
          <w:lang w:val="en-US" w:eastAsia="zh-CN"/>
        </w:rPr>
      </w:pPr>
      <w:r>
        <w:rPr>
          <w:rStyle w:val="8"/>
          <w:rFonts w:hint="eastAsia" w:ascii="宋体" w:hAnsi="宋体" w:eastAsia="宋体" w:cs="宋体"/>
          <w:b w:val="0"/>
          <w:bCs/>
          <w:i w:val="0"/>
          <w:iCs w:val="0"/>
          <w:caps w:val="0"/>
          <w:color w:val="111111"/>
          <w:spacing w:val="0"/>
          <w:sz w:val="24"/>
          <w:szCs w:val="24"/>
          <w:u w:val="none"/>
          <w:shd w:val="clear" w:fill="FFFFFF"/>
        </w:rPr>
        <w:t>代理费金</w:t>
      </w:r>
      <w:r>
        <w:rPr>
          <w:rStyle w:val="8"/>
          <w:rFonts w:hint="eastAsia" w:ascii="宋体" w:hAnsi="宋体" w:eastAsia="宋体" w:cs="宋体"/>
          <w:b w:val="0"/>
          <w:bCs/>
          <w:i w:val="0"/>
          <w:iCs w:val="0"/>
          <w:caps w:val="0"/>
          <w:color w:val="auto"/>
          <w:spacing w:val="0"/>
          <w:sz w:val="24"/>
          <w:szCs w:val="24"/>
          <w:u w:val="none"/>
          <w:shd w:val="clear" w:fill="FFFFFF"/>
        </w:rPr>
        <w:t>额：</w:t>
      </w:r>
      <w:r>
        <w:rPr>
          <w:rStyle w:val="8"/>
          <w:rFonts w:hint="eastAsia" w:ascii="宋体" w:hAnsi="宋体" w:eastAsia="宋体" w:cs="宋体"/>
          <w:b w:val="0"/>
          <w:bCs/>
          <w:i w:val="0"/>
          <w:iCs w:val="0"/>
          <w:caps w:val="0"/>
          <w:color w:val="auto"/>
          <w:spacing w:val="0"/>
          <w:sz w:val="24"/>
          <w:szCs w:val="24"/>
          <w:u w:val="none"/>
          <w:shd w:val="clear" w:fill="FFFFFF"/>
          <w:lang w:val="en-US" w:eastAsia="zh-CN"/>
        </w:rPr>
        <w:t>0.4728万元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七、公告期限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自本公告发布之日起1个工作日。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八、其它补充事宜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经磋商小组成员对磋商文件及评审结果的认真审核评定，</w:t>
      </w:r>
      <w:r>
        <w:rPr>
          <w:rFonts w:hint="eastAsia" w:ascii="微软雅黑" w:hAnsi="微软雅黑" w:eastAsia="微软雅黑" w:cs="微软雅黑"/>
          <w:i w:val="0"/>
          <w:iCs w:val="0"/>
          <w:caps w:val="0"/>
          <w:color w:val="383838"/>
          <w:spacing w:val="0"/>
          <w:sz w:val="21"/>
          <w:szCs w:val="21"/>
          <w:shd w:val="clear" w:fill="FFFFFF"/>
          <w:vertAlign w:val="baseline"/>
          <w:lang w:val="en-US" w:eastAsia="zh-CN"/>
        </w:rPr>
        <w:t>采购包1、采购包2</w:t>
      </w:r>
      <w:r>
        <w:rPr>
          <w:rFonts w:hint="eastAsia" w:ascii="微软雅黑" w:hAnsi="微软雅黑" w:eastAsia="微软雅黑" w:cs="微软雅黑"/>
          <w:i w:val="0"/>
          <w:iCs w:val="0"/>
          <w:caps w:val="0"/>
          <w:color w:val="383838"/>
          <w:spacing w:val="0"/>
          <w:sz w:val="21"/>
          <w:szCs w:val="21"/>
          <w:shd w:val="clear" w:fill="FFFFFF"/>
          <w:vertAlign w:val="baseline"/>
        </w:rPr>
        <w:t>各供应商的资格性和符合性审查均通过。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Style w:val="8"/>
          <w:rFonts w:hint="eastAsia" w:ascii="微软雅黑" w:hAnsi="微软雅黑" w:eastAsia="微软雅黑" w:cs="微软雅黑"/>
          <w:b/>
          <w:bCs/>
          <w:i w:val="0"/>
          <w:iCs w:val="0"/>
          <w:caps w:val="0"/>
          <w:color w:val="383838"/>
          <w:spacing w:val="0"/>
          <w:sz w:val="21"/>
          <w:szCs w:val="21"/>
          <w:shd w:val="clear" w:fill="FFFFFF"/>
          <w:vertAlign w:val="baseline"/>
        </w:rPr>
        <w:t>九、凡对本次公告内容提出询问，请按以下方式联系。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r>
        <w:rPr>
          <w:rFonts w:hint="eastAsia" w:ascii="微软雅黑" w:hAnsi="微软雅黑" w:eastAsia="微软雅黑" w:cs="微软雅黑"/>
          <w:i w:val="0"/>
          <w:iCs w:val="0"/>
          <w:caps w:val="0"/>
          <w:color w:val="383838"/>
          <w:spacing w:val="0"/>
          <w:sz w:val="21"/>
          <w:szCs w:val="21"/>
          <w:shd w:val="clear" w:fill="FFFFFF"/>
          <w:vertAlign w:val="baseline"/>
        </w:rPr>
        <w:t>1.采购人信息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r>
        <w:rPr>
          <w:rFonts w:hint="eastAsia" w:ascii="微软雅黑" w:hAnsi="微软雅黑" w:eastAsia="微软雅黑" w:cs="微软雅黑"/>
          <w:i w:val="0"/>
          <w:iCs w:val="0"/>
          <w:caps w:val="0"/>
          <w:color w:val="383838"/>
          <w:spacing w:val="0"/>
          <w:sz w:val="21"/>
          <w:szCs w:val="21"/>
          <w:shd w:val="clear" w:fill="FFFFFF"/>
          <w:vertAlign w:val="baseline"/>
        </w:rPr>
        <w:t>名 称：宁德市汇融征信服务有限公司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r>
        <w:rPr>
          <w:rFonts w:hint="eastAsia" w:ascii="微软雅黑" w:hAnsi="微软雅黑" w:eastAsia="微软雅黑" w:cs="微软雅黑"/>
          <w:i w:val="0"/>
          <w:iCs w:val="0"/>
          <w:caps w:val="0"/>
          <w:color w:val="383838"/>
          <w:spacing w:val="0"/>
          <w:sz w:val="21"/>
          <w:szCs w:val="21"/>
          <w:shd w:val="clear" w:fill="FFFFFF"/>
          <w:vertAlign w:val="baseline"/>
        </w:rPr>
        <w:t>地址：福建省宁德市东侨经济开发区正大路4号金禾大厦第11层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联系方式：王先生0593-2311136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2.采购代理机构信息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名 称：宁德市有信产权交易服务有限公司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地　址：宁德市东侨经济技术开发区闽东东路15号金禾商务中心12楼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联系方式：</w:t>
      </w:r>
      <w:r>
        <w:rPr>
          <w:rFonts w:hint="eastAsia" w:ascii="微软雅黑" w:hAnsi="微软雅黑" w:eastAsia="微软雅黑" w:cs="微软雅黑"/>
          <w:i w:val="0"/>
          <w:iCs w:val="0"/>
          <w:caps w:val="0"/>
          <w:color w:val="383838"/>
          <w:spacing w:val="0"/>
          <w:sz w:val="21"/>
          <w:szCs w:val="21"/>
          <w:shd w:val="clear" w:fill="FFFFFF"/>
          <w:vertAlign w:val="baseline"/>
          <w:lang w:val="en-US" w:eastAsia="zh-CN"/>
        </w:rPr>
        <w:t>韦</w:t>
      </w:r>
      <w:r>
        <w:rPr>
          <w:rFonts w:hint="eastAsia" w:ascii="微软雅黑" w:hAnsi="微软雅黑" w:eastAsia="微软雅黑" w:cs="微软雅黑"/>
          <w:i w:val="0"/>
          <w:iCs w:val="0"/>
          <w:caps w:val="0"/>
          <w:color w:val="383838"/>
          <w:spacing w:val="0"/>
          <w:sz w:val="21"/>
          <w:szCs w:val="21"/>
          <w:shd w:val="clear" w:fill="FFFFFF"/>
          <w:vertAlign w:val="baseline"/>
        </w:rPr>
        <w:t>女士 0593-2292676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3.项目联系方式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rPr>
      </w:pPr>
      <w:r>
        <w:rPr>
          <w:rFonts w:hint="eastAsia" w:ascii="微软雅黑" w:hAnsi="微软雅黑" w:eastAsia="微软雅黑" w:cs="微软雅黑"/>
          <w:i w:val="0"/>
          <w:iCs w:val="0"/>
          <w:caps w:val="0"/>
          <w:color w:val="383838"/>
          <w:spacing w:val="0"/>
          <w:sz w:val="21"/>
          <w:szCs w:val="21"/>
          <w:shd w:val="clear" w:fill="FFFFFF"/>
          <w:vertAlign w:val="baseline"/>
        </w:rPr>
        <w:t>项目联系人：</w:t>
      </w:r>
      <w:r>
        <w:rPr>
          <w:rFonts w:hint="eastAsia" w:ascii="微软雅黑" w:hAnsi="微软雅黑" w:eastAsia="微软雅黑" w:cs="微软雅黑"/>
          <w:i w:val="0"/>
          <w:iCs w:val="0"/>
          <w:caps w:val="0"/>
          <w:color w:val="383838"/>
          <w:spacing w:val="0"/>
          <w:sz w:val="21"/>
          <w:szCs w:val="21"/>
          <w:shd w:val="clear" w:fill="FFFFFF"/>
          <w:vertAlign w:val="baseline"/>
          <w:lang w:val="en-US" w:eastAsia="zh-CN"/>
        </w:rPr>
        <w:t>韦</w:t>
      </w:r>
      <w:r>
        <w:rPr>
          <w:rFonts w:hint="eastAsia" w:ascii="微软雅黑" w:hAnsi="微软雅黑" w:eastAsia="微软雅黑" w:cs="微软雅黑"/>
          <w:i w:val="0"/>
          <w:iCs w:val="0"/>
          <w:caps w:val="0"/>
          <w:color w:val="383838"/>
          <w:spacing w:val="0"/>
          <w:sz w:val="21"/>
          <w:szCs w:val="21"/>
          <w:shd w:val="clear" w:fill="FFFFFF"/>
          <w:vertAlign w:val="baseline"/>
        </w:rPr>
        <w:t>女士</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r>
        <w:rPr>
          <w:rFonts w:hint="eastAsia" w:ascii="微软雅黑" w:hAnsi="微软雅黑" w:eastAsia="微软雅黑" w:cs="微软雅黑"/>
          <w:i w:val="0"/>
          <w:iCs w:val="0"/>
          <w:caps w:val="0"/>
          <w:color w:val="383838"/>
          <w:spacing w:val="0"/>
          <w:sz w:val="21"/>
          <w:szCs w:val="21"/>
          <w:shd w:val="clear" w:fill="FFFFFF"/>
          <w:vertAlign w:val="baseline"/>
        </w:rPr>
        <w:t>电　话：0593-2292676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right"/>
        <w:textAlignment w:val="baseline"/>
        <w:rPr>
          <w:rFonts w:hint="eastAsia" w:ascii="微软雅黑" w:hAnsi="微软雅黑" w:eastAsia="微软雅黑" w:cs="微软雅黑"/>
          <w:i w:val="0"/>
          <w:iCs w:val="0"/>
          <w:caps w:val="0"/>
          <w:color w:val="383838"/>
          <w:spacing w:val="0"/>
          <w:sz w:val="21"/>
          <w:szCs w:val="21"/>
          <w:shd w:val="clear" w:fill="FFFFFF"/>
          <w:vertAlign w:val="baseline"/>
        </w:rPr>
      </w:pPr>
      <w:r>
        <w:rPr>
          <w:rFonts w:hint="eastAsia" w:ascii="微软雅黑" w:hAnsi="微软雅黑" w:eastAsia="微软雅黑" w:cs="微软雅黑"/>
          <w:i w:val="0"/>
          <w:iCs w:val="0"/>
          <w:caps w:val="0"/>
          <w:color w:val="383838"/>
          <w:spacing w:val="0"/>
          <w:sz w:val="21"/>
          <w:szCs w:val="21"/>
          <w:shd w:val="clear" w:fill="FFFFFF"/>
          <w:vertAlign w:val="baseline"/>
        </w:rPr>
        <w:t>宁德市有信产权交易服务有限公司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right"/>
        <w:textAlignment w:val="baseline"/>
        <w:rPr>
          <w:rFonts w:hint="default" w:ascii="微软雅黑" w:hAnsi="微软雅黑" w:eastAsia="微软雅黑" w:cs="微软雅黑"/>
          <w:i w:val="0"/>
          <w:iCs w:val="0"/>
          <w:caps w:val="0"/>
          <w:color w:val="383838"/>
          <w:spacing w:val="0"/>
          <w:sz w:val="21"/>
          <w:szCs w:val="21"/>
          <w:shd w:val="clear" w:fill="FFFFFF"/>
          <w:vertAlign w:val="baseline"/>
          <w:lang w:val="en-US" w:eastAsia="zh-CN"/>
        </w:rPr>
      </w:pPr>
      <w:r>
        <w:rPr>
          <w:rFonts w:hint="eastAsia" w:ascii="微软雅黑" w:hAnsi="微软雅黑" w:eastAsia="微软雅黑" w:cs="微软雅黑"/>
          <w:i w:val="0"/>
          <w:iCs w:val="0"/>
          <w:caps w:val="0"/>
          <w:color w:val="383838"/>
          <w:spacing w:val="0"/>
          <w:sz w:val="21"/>
          <w:szCs w:val="21"/>
          <w:shd w:val="clear" w:fill="FFFFFF"/>
          <w:vertAlign w:val="baseline"/>
          <w:lang w:val="en-US" w:eastAsia="zh-CN"/>
        </w:rPr>
        <w:t>2023年12月27日</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rPr>
          <w:sz w:val="21"/>
          <w:szCs w:val="21"/>
        </w:rPr>
      </w:pPr>
      <w:r>
        <w:rPr>
          <w:rFonts w:hint="eastAsia" w:ascii="微软雅黑" w:hAnsi="微软雅黑" w:eastAsia="微软雅黑" w:cs="微软雅黑"/>
          <w:i w:val="0"/>
          <w:iCs w:val="0"/>
          <w:caps w:val="0"/>
          <w:color w:val="383838"/>
          <w:spacing w:val="0"/>
          <w:kern w:val="0"/>
          <w:sz w:val="21"/>
          <w:szCs w:val="21"/>
          <w:shd w:val="clear" w:fill="FFFFFF"/>
          <w:lang w:val="en-US" w:eastAsia="zh-CN" w:bidi="ar"/>
        </w:rPr>
        <w:t>　</w:t>
      </w: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经典中圆繁">
    <w:altName w:val="宋体"/>
    <w:panose1 w:val="00000000000000000000"/>
    <w:charset w:val="86"/>
    <w:family w:val="modern"/>
    <w:pitch w:val="default"/>
    <w:sig w:usb0="00000000" w:usb1="00000000" w:usb2="0000001E"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FC1BE3"/>
    <w:multiLevelType w:val="singleLevel"/>
    <w:tmpl w:val="56FC1BE3"/>
    <w:lvl w:ilvl="0" w:tentative="0">
      <w:start w:val="5"/>
      <w:numFmt w:val="chineseCounting"/>
      <w:suff w:val="nothing"/>
      <w:lvlText w:val="%1、"/>
      <w:lvlJc w:val="left"/>
      <w:rPr>
        <w:rFonts w:hint="eastAsia"/>
      </w:rPr>
    </w:lvl>
  </w:abstractNum>
  <w:abstractNum w:abstractNumId="1">
    <w:nsid w:val="62219E01"/>
    <w:multiLevelType w:val="singleLevel"/>
    <w:tmpl w:val="62219E0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iMzI2MDdiZTY0OGQ2NDdkYjY0OWZhYjYyNzgyOTkifQ=="/>
  </w:docVars>
  <w:rsids>
    <w:rsidRoot w:val="6A0C5F4D"/>
    <w:rsid w:val="11403471"/>
    <w:rsid w:val="150149F8"/>
    <w:rsid w:val="445A4356"/>
    <w:rsid w:val="6A0C5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rPr>
      <w:rFonts w:ascii="Times New Roman" w:hAnsi="Times New Roman" w:eastAsia="经典中圆繁" w:cs="Times New Roman"/>
      <w:sz w:val="28"/>
      <w:szCs w:val="24"/>
    </w:rPr>
  </w:style>
  <w:style w:type="paragraph" w:styleId="3">
    <w:name w:val="Body Text Indent"/>
    <w:basedOn w:val="1"/>
    <w:autoRedefine/>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next w:val="2"/>
    <w:autoRedefine/>
    <w:qFormat/>
    <w:uiPriority w:val="99"/>
    <w:pPr>
      <w:spacing w:after="0"/>
      <w:ind w:left="0" w:firstLine="420" w:firstLineChars="200"/>
    </w:pPr>
    <w:rPr>
      <w:rFonts w:ascii="宋体" w:hAnsi="宋体"/>
      <w:szCs w:val="28"/>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2023-12-27T08:57:00Z</dcterms:created>
  <dc:creator>一闪一闪</dc:creator>
  <cp:lastModifiedBy>Tequiero 蓝子卿</cp:lastModifiedBy>
  <dcterms:modified xsi:type="dcterms:W3CDTF">2023-12-27T09:30:38Z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0704A41A795A492997365E4EB18E3110_11</vt:lpwstr>
  </property>
</Properties>
</file>