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240" w:afterAutospacing="0" w:line="432" w:lineRule="atLeast"/>
        <w:ind w:left="0" w:right="0" w:firstLine="0"/>
        <w:jc w:val="center"/>
        <w:textAlignment w:val="baseline"/>
        <w:rPr>
          <w:rFonts w:ascii="微软雅黑" w:hAnsi="微软雅黑" w:eastAsia="微软雅黑" w:cs="微软雅黑"/>
          <w:b/>
          <w:bCs/>
          <w:i w:val="0"/>
          <w:iCs w:val="0"/>
          <w:caps w:val="0"/>
          <w:color w:val="383940"/>
          <w:spacing w:val="0"/>
          <w:sz w:val="31"/>
          <w:szCs w:val="31"/>
        </w:rPr>
      </w:pPr>
      <w:r>
        <w:rPr>
          <w:rFonts w:hint="eastAsia" w:ascii="微软雅黑" w:hAnsi="微软雅黑" w:eastAsia="微软雅黑" w:cs="微软雅黑"/>
          <w:b/>
          <w:bCs/>
          <w:i w:val="0"/>
          <w:iCs w:val="0"/>
          <w:caps w:val="0"/>
          <w:color w:val="383940"/>
          <w:spacing w:val="0"/>
          <w:sz w:val="31"/>
          <w:szCs w:val="31"/>
          <w:shd w:val="clear" w:fill="FFFFFF"/>
          <w:vertAlign w:val="baseline"/>
        </w:rPr>
        <w:t>福建闽东电力股份有限公司关于2024年度团体补充医疗保险项目公开招标中标公告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b/>
          <w:bCs/>
          <w:sz w:val="21"/>
          <w:szCs w:val="21"/>
        </w:rPr>
        <w:t>一、项目编号：</w:t>
      </w:r>
      <w:r>
        <w:rPr>
          <w:rFonts w:hint="eastAsia" w:ascii="宋体" w:hAnsi="宋体" w:eastAsia="宋体" w:cs="宋体"/>
          <w:sz w:val="21"/>
          <w:szCs w:val="21"/>
        </w:rPr>
        <w:t>NDYXCQ[GK]2023042（1）</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b/>
          <w:bCs/>
          <w:sz w:val="21"/>
          <w:szCs w:val="21"/>
        </w:rPr>
        <w:t>二、项目名称：</w:t>
      </w:r>
      <w:r>
        <w:rPr>
          <w:rFonts w:hint="eastAsia" w:ascii="宋体" w:hAnsi="宋体" w:eastAsia="宋体" w:cs="宋体"/>
          <w:sz w:val="21"/>
          <w:szCs w:val="21"/>
        </w:rPr>
        <w:t>2024年度团体补充医疗保险项目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三、中标（成交）信息</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供应商名称：中国平安财产保险股份有限公司福建分公司</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供应商地址：福建省福州市台江区五一中路88号平安大厦7层A单元、20、28、29层</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中标（成交）金额：181.5000000（万元）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四、主要标的信息</w:t>
      </w:r>
    </w:p>
    <w:tbl>
      <w:tblPr>
        <w:tblStyle w:val="4"/>
        <w:tblW w:w="9365" w:type="dxa"/>
        <w:tblInd w:w="-869"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Layout w:type="autofit"/>
        <w:tblCellMar>
          <w:top w:w="0" w:type="dxa"/>
          <w:left w:w="0" w:type="dxa"/>
          <w:bottom w:w="0" w:type="dxa"/>
          <w:right w:w="0" w:type="dxa"/>
        </w:tblCellMar>
      </w:tblPr>
      <w:tblGrid>
        <w:gridCol w:w="492"/>
        <w:gridCol w:w="1152"/>
        <w:gridCol w:w="899"/>
        <w:gridCol w:w="1222"/>
        <w:gridCol w:w="1862"/>
        <w:gridCol w:w="1119"/>
        <w:gridCol w:w="2619"/>
      </w:tblGrid>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CellMar>
            <w:top w:w="0" w:type="dxa"/>
            <w:left w:w="0" w:type="dxa"/>
            <w:bottom w:w="0" w:type="dxa"/>
            <w:right w:w="0" w:type="dxa"/>
          </w:tblCellMar>
        </w:tblPrEx>
        <w:tc>
          <w:tcPr>
            <w:tcW w:w="492"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w:t>
            </w:r>
          </w:p>
        </w:tc>
        <w:tc>
          <w:tcPr>
            <w:tcW w:w="1152"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供应商名称</w:t>
            </w:r>
          </w:p>
        </w:tc>
        <w:tc>
          <w:tcPr>
            <w:tcW w:w="899"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服务名称</w:t>
            </w:r>
          </w:p>
        </w:tc>
        <w:tc>
          <w:tcPr>
            <w:tcW w:w="1222"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服务范围</w:t>
            </w:r>
          </w:p>
        </w:tc>
        <w:tc>
          <w:tcPr>
            <w:tcW w:w="1862"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服务要求</w:t>
            </w:r>
          </w:p>
        </w:tc>
        <w:tc>
          <w:tcPr>
            <w:tcW w:w="1119"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服务时间</w:t>
            </w:r>
          </w:p>
        </w:tc>
        <w:tc>
          <w:tcPr>
            <w:tcW w:w="2619"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服务标准</w:t>
            </w:r>
          </w:p>
        </w:tc>
      </w:tr>
      <w:tr>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FFFFFF"/>
          <w:tblCellMar>
            <w:top w:w="0" w:type="dxa"/>
            <w:left w:w="0" w:type="dxa"/>
            <w:bottom w:w="0" w:type="dxa"/>
            <w:right w:w="0" w:type="dxa"/>
          </w:tblCellMar>
        </w:tblPrEx>
        <w:tc>
          <w:tcPr>
            <w:tcW w:w="492"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1152"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中国平安财产保险股份有限公司福建分公司</w:t>
            </w:r>
          </w:p>
        </w:tc>
        <w:tc>
          <w:tcPr>
            <w:tcW w:w="899"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职工团体补充医疗保险</w:t>
            </w:r>
          </w:p>
        </w:tc>
        <w:tc>
          <w:tcPr>
            <w:tcW w:w="1222"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福建闽东电力股份有限公司全体人员、福建闽东电力股份有限公司控股（全资）子公司及其附属公司的正式员工。详见招标文件。</w:t>
            </w:r>
          </w:p>
        </w:tc>
        <w:tc>
          <w:tcPr>
            <w:tcW w:w="1862"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团体补充医疗保险，包含下列险种责任:</w:t>
            </w:r>
            <w:r>
              <w:rPr>
                <w:rFonts w:hint="eastAsia" w:ascii="宋体" w:hAnsi="宋体" w:eastAsia="宋体" w:cs="宋体"/>
                <w:sz w:val="21"/>
                <w:szCs w:val="21"/>
                <w:lang w:val="en-US" w:eastAsia="zh-CN"/>
              </w:rPr>
              <w:br w:type="textWrapping"/>
            </w:r>
            <w:r>
              <w:rPr>
                <w:rFonts w:hint="eastAsia" w:ascii="宋体" w:hAnsi="宋体" w:eastAsia="宋体" w:cs="宋体"/>
                <w:sz w:val="21"/>
                <w:szCs w:val="21"/>
                <w:lang w:val="en-US" w:eastAsia="zh-CN"/>
              </w:rPr>
              <w:t>（1）团体人身意外伤害保险；（2）（附加）意外伤害医疗费用保险；（3）团体重大疾病保险（一年期）；（4）（附加）重大疾病轻症保障；（5）（附加）疾病住院医疗保险；（6）附加疾病住院津贴保险；（7）附加意外（伤害）住院津贴保险等；详见招标文件。</w:t>
            </w:r>
          </w:p>
        </w:tc>
        <w:tc>
          <w:tcPr>
            <w:tcW w:w="1119"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12个月，自2024年1月1日零时起至2024年12月31日二十四时止。详见招标文件。</w:t>
            </w:r>
          </w:p>
        </w:tc>
        <w:tc>
          <w:tcPr>
            <w:tcW w:w="2619" w:type="dxa"/>
            <w:tcBorders>
              <w:top w:val="outset" w:color="auto" w:sz="4" w:space="0"/>
              <w:left w:val="outset" w:color="auto" w:sz="8" w:space="0"/>
              <w:bottom w:val="outset" w:color="auto" w:sz="8" w:space="0"/>
              <w:right w:val="outset"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保险单生效并经采购人确认。验收标准按符合国家或行业或地方标准、招标文件、投标文件等有关部分内容进行验收。供应商交付的所有服务应符合国家相关部门规定的标准，若发现服务未符合竞招标文件及合同相关条款要求，供应商需立即进行整改。若供应商对不符合招标及合同相关条款要求的服务拒绝整改或已造成影响的，采购人有权要求供应商支付相应的赔偿，造成严重后果的可要求解除合同。详见招标文件。</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五、评审专家（单一来源采购人员）名单</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林青、许石弟、王文琼、林碧玲</w:t>
      </w:r>
      <w:r>
        <w:rPr>
          <w:rFonts w:hint="eastAsia" w:ascii="宋体" w:hAnsi="宋体" w:eastAsia="宋体" w:cs="宋体"/>
          <w:sz w:val="21"/>
          <w:szCs w:val="21"/>
          <w:lang w:eastAsia="zh-CN"/>
        </w:rPr>
        <w:t>、</w:t>
      </w:r>
      <w:r>
        <w:rPr>
          <w:rFonts w:hint="eastAsia" w:ascii="宋体" w:hAnsi="宋体" w:eastAsia="宋体" w:cs="宋体"/>
          <w:sz w:val="21"/>
          <w:szCs w:val="21"/>
        </w:rPr>
        <w:t>范德祥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六、代理服务收费标准及金额：</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收取对象：</w:t>
      </w:r>
      <w:r>
        <w:rPr>
          <w:rFonts w:hint="eastAsia" w:ascii="宋体" w:hAnsi="宋体" w:eastAsia="宋体" w:cs="宋体"/>
          <w:b w:val="0"/>
          <w:bCs w:val="0"/>
          <w:sz w:val="21"/>
          <w:szCs w:val="21"/>
        </w:rPr>
        <w:t>中标人。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收费标准：</w:t>
      </w:r>
      <w:r>
        <w:rPr>
          <w:rFonts w:hint="eastAsia" w:ascii="宋体" w:hAnsi="宋体" w:eastAsia="宋体" w:cs="宋体"/>
          <w:b w:val="0"/>
          <w:bCs w:val="0"/>
          <w:sz w:val="21"/>
          <w:szCs w:val="21"/>
        </w:rPr>
        <w:t>中标总金额100万元以下按金额的1.5%收取；100万元～500万元部分，按金额的0.8 %收取；服务费按差额定率累进法计算。</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本项目代理费总金额：</w:t>
      </w:r>
      <w:r>
        <w:rPr>
          <w:rFonts w:hint="eastAsia" w:ascii="宋体" w:hAnsi="宋体" w:eastAsia="宋体" w:cs="宋体"/>
          <w:b w:val="0"/>
          <w:bCs w:val="0"/>
          <w:sz w:val="21"/>
          <w:szCs w:val="21"/>
        </w:rPr>
        <w:t>2.152000 万元（人民币）</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七、公告期限</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自本公告发布之日起1个工作日。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八、其它补充事宜</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各供应商资格性与投标文件的符合性审查均通过。</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宋体" w:hAnsi="宋体" w:eastAsia="宋体" w:cs="宋体"/>
          <w:b/>
          <w:bCs/>
          <w:sz w:val="21"/>
          <w:szCs w:val="21"/>
        </w:rPr>
      </w:pPr>
      <w:r>
        <w:rPr>
          <w:rFonts w:hint="eastAsia" w:ascii="宋体" w:hAnsi="宋体" w:eastAsia="宋体" w:cs="宋体"/>
          <w:b/>
          <w:bCs/>
          <w:sz w:val="21"/>
          <w:szCs w:val="21"/>
        </w:rPr>
        <w:t>九、凡对本次公告内容提出询问，请按以下方式联系。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1.采购人信息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名称：福建闽东电力股份有限公司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地址：宁德市东侨经济开发区金马北路2号东晟广场9号楼14-16层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联系方式：</w:t>
      </w:r>
      <w:r>
        <w:rPr>
          <w:rFonts w:hint="eastAsia" w:ascii="宋体" w:hAnsi="宋体" w:eastAsia="宋体" w:cs="宋体"/>
          <w:sz w:val="21"/>
          <w:szCs w:val="21"/>
          <w:lang w:val="en-US" w:eastAsia="zh-CN"/>
        </w:rPr>
        <w:t>陈女士</w:t>
      </w:r>
      <w:r>
        <w:rPr>
          <w:rFonts w:hint="eastAsia" w:ascii="宋体" w:hAnsi="宋体" w:eastAsia="宋体" w:cs="宋体"/>
          <w:sz w:val="21"/>
          <w:szCs w:val="21"/>
        </w:rPr>
        <w:t>0593-2768936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2.采购代理机构信息</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名称：宁德市有信产权交易服务有限公司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地址：宁德市东侨经济技术开发区金禾商务中心12层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联系方式：彭女士0593-2292676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3.项目联系方式</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项目联系人：彭女士</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1"/>
          <w:szCs w:val="21"/>
        </w:rPr>
      </w:pPr>
      <w:r>
        <w:rPr>
          <w:rFonts w:hint="eastAsia" w:ascii="宋体" w:hAnsi="宋体" w:eastAsia="宋体" w:cs="宋体"/>
          <w:sz w:val="21"/>
          <w:szCs w:val="21"/>
        </w:rPr>
        <w:t>电话：0593-2292676</w:t>
      </w:r>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NzgxNGJmNDc1ZmFiMWIzMmEyZjY1MjU4NGZhMDAifQ=="/>
  </w:docVars>
  <w:rsids>
    <w:rsidRoot w:val="00000000"/>
    <w:rsid w:val="083A2475"/>
    <w:rsid w:val="0AE6310E"/>
    <w:rsid w:val="12D13096"/>
    <w:rsid w:val="271A1986"/>
    <w:rsid w:val="4CB607BF"/>
    <w:rsid w:val="68177894"/>
    <w:rsid w:val="76FD0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6">
    <w:name w:val="Strong"/>
    <w:basedOn w:val="5"/>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2023-12-26T09:18:00Z</dcterms:created>
  <dc:creator>admin</dc:creator>
  <cp:lastModifiedBy>栗弋。</cp:lastModifiedBy>
  <dcterms:modified xsi:type="dcterms:W3CDTF">2023-12-27T08:07:10Z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9CD1C0B6296140FCA05D3B2B236D271F_12</vt:lpwstr>
  </property>
</Properties>
</file>