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37"/>
          <w:szCs w:val="37"/>
          <w:u w:val="none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37"/>
          <w:szCs w:val="37"/>
          <w:u w:val="none"/>
          <w:shd w:val="clear" w:fill="FFFFFF"/>
          <w:lang w:eastAsia="zh-CN"/>
        </w:rPr>
        <w:t>宁德市国有资产投资经营有限公司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37"/>
          <w:szCs w:val="37"/>
          <w:u w:val="none"/>
          <w:shd w:val="clear" w:fill="FFFFFF"/>
        </w:rPr>
        <w:t>关于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37"/>
          <w:szCs w:val="37"/>
          <w:u w:val="none"/>
          <w:shd w:val="clear" w:fill="FFFFFF"/>
          <w:lang w:eastAsia="zh-CN"/>
        </w:rPr>
        <w:t>私募公司债券及小公募公司债券牵头主承销商采购项目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11111"/>
          <w:spacing w:val="0"/>
          <w:sz w:val="37"/>
          <w:szCs w:val="37"/>
          <w:u w:val="none"/>
          <w:shd w:val="clear" w:fill="FFFFFF"/>
        </w:rPr>
        <w:t>竞争性磋商成交公告</w:t>
      </w:r>
    </w:p>
    <w:p/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lang w:eastAsia="zh-CN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一、项目编号：</w:t>
      </w: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NDYXCQ[CS]2023030（1）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lang w:eastAsia="zh-CN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二、项目名称：</w:t>
      </w: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私募公司债券及小公募公司债券牵头主承销商采购项目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三、中标（成交）信息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采购包1：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供应商名称：海通证券股份有限公司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供应商地址：上海市广东路689号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</w:pPr>
      <w:r>
        <w:rPr>
          <w:rFonts w:hint="default" w:ascii="Calibri" w:hAnsi="Calibri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成交承销佣金费率</w:t>
      </w:r>
      <w:r>
        <w:rPr>
          <w:rFonts w:hint="default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（承销佣金费率‰/年）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：0.556‰</w:t>
      </w:r>
      <w:r>
        <w:rPr>
          <w:rFonts w:hint="default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/年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采购包2：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供应商名称：</w:t>
      </w:r>
      <w:r>
        <w:rPr>
          <w:rFonts w:hint="default" w:ascii="Calibri" w:hAnsi="Calibri" w:eastAsia="宋体" w:cs="宋体"/>
          <w:i w:val="0"/>
          <w:iCs w:val="0"/>
          <w:color w:val="auto"/>
          <w:kern w:val="0"/>
          <w:sz w:val="24"/>
          <w:szCs w:val="24"/>
          <w:highlight w:val="none"/>
          <w:u w:val="none"/>
          <w:lang w:val="en-US" w:eastAsia="zh-CN" w:bidi="ar"/>
        </w:rPr>
        <w:t>华福证券有限责任公司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供应商地址：福建省福州市鼓楼区鼓屏路27号1#楼3层、4层、5层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Calibri" w:hAnsi="Calibri" w:eastAsia="宋体" w:cs="宋体"/>
          <w:i w:val="0"/>
          <w:iCs w:val="0"/>
          <w:color w:val="auto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default" w:ascii="Calibri" w:hAnsi="Calibri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成交承销佣金费率</w:t>
      </w:r>
      <w:r>
        <w:rPr>
          <w:rFonts w:hint="default" w:ascii="Calibri" w:hAnsi="Calibri" w:eastAsia="宋体" w:cs="宋体"/>
          <w:color w:val="auto"/>
          <w:kern w:val="0"/>
          <w:sz w:val="24"/>
          <w:szCs w:val="24"/>
          <w:highlight w:val="none"/>
        </w:rPr>
        <w:t>（承销佣金</w:t>
      </w:r>
      <w:r>
        <w:rPr>
          <w:rFonts w:hint="default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费率‰/年）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：0.556‰</w:t>
      </w:r>
      <w:r>
        <w:rPr>
          <w:rFonts w:hint="default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/年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四、主要标的信息</w:t>
      </w:r>
    </w:p>
    <w:tbl>
      <w:tblPr>
        <w:tblStyle w:val="7"/>
        <w:tblW w:w="10545" w:type="dxa"/>
        <w:tblCellSpacing w:w="0" w:type="dxa"/>
        <w:tblInd w:w="-356" w:type="dxa"/>
        <w:tblBorders>
          <w:top w:val="outset" w:color="auto" w:sz="0" w:space="0"/>
          <w:left w:val="single" w:color="CCCCCC" w:sz="6" w:space="0"/>
          <w:bottom w:val="single" w:color="CCCCCC" w:sz="6" w:space="0"/>
          <w:right w:val="outset" w:color="auto" w:sz="0" w:space="0"/>
          <w:insideH w:val="outset" w:color="auto" w:sz="18" w:space="0"/>
          <w:insideV w:val="outset" w:color="auto" w:sz="1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035"/>
        <w:gridCol w:w="1065"/>
        <w:gridCol w:w="1335"/>
        <w:gridCol w:w="1950"/>
        <w:gridCol w:w="1875"/>
        <w:gridCol w:w="2625"/>
      </w:tblGrid>
      <w:tr>
        <w:tblPrEx>
          <w:tblBorders>
            <w:top w:val="outset" w:color="auto" w:sz="0" w:space="0"/>
            <w:left w:val="single" w:color="CCCCCC" w:sz="6" w:space="0"/>
            <w:bottom w:val="single" w:color="CCCCCC" w:sz="6" w:space="0"/>
            <w:right w:val="outset" w:color="auto" w:sz="0" w:space="0"/>
            <w:insideH w:val="outset" w:color="auto" w:sz="18" w:space="0"/>
            <w:insideV w:val="outset" w:color="auto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tcBorders>
              <w:top w:val="single" w:color="000000" w:themeColor="text1" w:sz="6" w:space="0"/>
              <w:left w:val="single" w:color="auto" w:sz="0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采购包</w:t>
            </w:r>
          </w:p>
        </w:tc>
        <w:tc>
          <w:tcPr>
            <w:tcW w:w="10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供应商名称</w:t>
            </w:r>
          </w:p>
        </w:tc>
        <w:tc>
          <w:tcPr>
            <w:tcW w:w="106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服务名称</w:t>
            </w:r>
          </w:p>
        </w:tc>
        <w:tc>
          <w:tcPr>
            <w:tcW w:w="13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服务范围</w:t>
            </w:r>
          </w:p>
        </w:tc>
        <w:tc>
          <w:tcPr>
            <w:tcW w:w="195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服务要求</w:t>
            </w:r>
          </w:p>
        </w:tc>
        <w:tc>
          <w:tcPr>
            <w:tcW w:w="18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服务时间</w:t>
            </w:r>
          </w:p>
        </w:tc>
        <w:tc>
          <w:tcPr>
            <w:tcW w:w="262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服务标准</w:t>
            </w:r>
          </w:p>
        </w:tc>
      </w:tr>
      <w:tr>
        <w:tblPrEx>
          <w:tblBorders>
            <w:top w:val="outset" w:color="auto" w:sz="0" w:space="0"/>
            <w:left w:val="single" w:color="CCCCCC" w:sz="6" w:space="0"/>
            <w:bottom w:val="single" w:color="CCCCCC" w:sz="6" w:space="0"/>
            <w:right w:val="outset" w:color="auto" w:sz="0" w:space="0"/>
            <w:insideH w:val="outset" w:color="auto" w:sz="18" w:space="0"/>
            <w:insideV w:val="outset" w:color="auto" w:sz="1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tcBorders>
              <w:top w:val="single" w:color="000000" w:themeColor="text1" w:sz="6" w:space="0"/>
              <w:left w:val="single" w:color="000000" w:themeColor="text1" w:sz="4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  <w:t>海通证券股份有限公司</w:t>
            </w:r>
          </w:p>
        </w:tc>
        <w:tc>
          <w:tcPr>
            <w:tcW w:w="106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私募公司债券牵头主承销商</w:t>
            </w:r>
          </w:p>
        </w:tc>
        <w:tc>
          <w:tcPr>
            <w:tcW w:w="13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私募公司债券牵头主承销商服务，详见磋商文件。</w:t>
            </w:r>
          </w:p>
        </w:tc>
        <w:tc>
          <w:tcPr>
            <w:tcW w:w="195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实行余额包销方式承销本次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私募公司债券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，详见磋商文件。</w:t>
            </w:r>
          </w:p>
        </w:tc>
        <w:tc>
          <w:tcPr>
            <w:tcW w:w="18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除采购人有其他要求外，该项目服务期为自合同签订生效后开始服务至本项目完成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债券存续期结束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）。</w:t>
            </w:r>
          </w:p>
        </w:tc>
        <w:tc>
          <w:tcPr>
            <w:tcW w:w="262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成交人按磋商文件、响应文件及采购合同履约，履约过程中应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严格遵守《中华人民共和国反不正当竞争法》《关于禁止商业贿赂行为的暂行规定》《证券期货经营机构及其工作人员廉洁从业规定》及其实施细则等法律法规的要求。</w:t>
            </w:r>
          </w:p>
        </w:tc>
      </w:tr>
      <w:tr>
        <w:tblPrEx>
          <w:tblBorders>
            <w:top w:val="outset" w:color="auto" w:sz="0" w:space="0"/>
            <w:left w:val="single" w:color="CCCCCC" w:sz="6" w:space="0"/>
            <w:bottom w:val="single" w:color="CCCCCC" w:sz="6" w:space="0"/>
            <w:right w:val="outset" w:color="auto" w:sz="0" w:space="0"/>
            <w:insideH w:val="outset" w:color="auto" w:sz="18" w:space="0"/>
            <w:insideV w:val="outset" w:color="auto" w:sz="1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60" w:type="dxa"/>
            <w:tcBorders>
              <w:top w:val="single" w:color="000000" w:themeColor="text1" w:sz="6" w:space="0"/>
              <w:left w:val="single" w:color="000000" w:themeColor="text1" w:sz="4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2</w:t>
            </w:r>
          </w:p>
        </w:tc>
        <w:tc>
          <w:tcPr>
            <w:tcW w:w="10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华福证券有限责任公司</w:t>
            </w:r>
          </w:p>
        </w:tc>
        <w:tc>
          <w:tcPr>
            <w:tcW w:w="106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小公募公司债券牵头主承销商</w:t>
            </w:r>
          </w:p>
        </w:tc>
        <w:tc>
          <w:tcPr>
            <w:tcW w:w="133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小公募公司债券牵头主承销商服务，详见磋商文件。</w:t>
            </w:r>
          </w:p>
        </w:tc>
        <w:tc>
          <w:tcPr>
            <w:tcW w:w="195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 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实行余额包销方式承销本次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私募公司债券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，详见磋商文件。</w:t>
            </w:r>
          </w:p>
        </w:tc>
        <w:tc>
          <w:tcPr>
            <w:tcW w:w="18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 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除采购人有其他要求外，该项目服务期为自合同签订生效后开始服务至本项目完成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债券存续期结束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）。</w:t>
            </w:r>
          </w:p>
        </w:tc>
        <w:tc>
          <w:tcPr>
            <w:tcW w:w="262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 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成交人按磋商文件、响应文件及采购合同履约，履约过程中应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严格遵守《中华人民共和国反不正当竞争法》《关于禁止商业贿赂行为的暂行规定》《证券期货经营机构及其工作人员廉洁从业规定》及其实施细则等法律法规的要求。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Style w:val="9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五、评审</w:t>
      </w: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小组</w:t>
      </w: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名单：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</w:pP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程美淋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、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林雪康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、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缪斌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、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周维秀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、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陈浩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六、代理服务收费标准及金额：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本项目代理费收费标准：经与采购人协商，本次采购代理服务费由采购人支付。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4"/>
          <w:szCs w:val="24"/>
          <w:u w:val="none"/>
          <w:lang w:eastAsia="zh-CN"/>
        </w:rPr>
      </w:pP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本项目代理费总金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t>额：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采购包1：4.00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t>万元（人民币）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eastAsia="zh-CN"/>
        </w:rPr>
        <w:t>；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采购包2：4.00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t>万元（人民币）</w:t>
      </w:r>
      <w:r>
        <w:rPr>
          <w:rStyle w:val="9"/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none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t>七、公告期限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自本公告发布之日起1个工作日。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八、其它补充事宜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经磋商小组成员对磋商文件及评审结果的认真审核评定，各供应商的资格性和符合性审查均通过。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九、凡对本次公告内容提出询问，请按以下方式联系。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1.采购人信息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名 称：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eastAsia="zh-CN"/>
        </w:rPr>
        <w:t>宁德市国有资产投资经营有限公司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 xml:space="preserve"> 　　　　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jc w:val="left"/>
        <w:outlineLvl w:val="9"/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宁德市东侨经济开发区南湖滨路2号（龙威·经贸广场）2幢19-22层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00" w:lineRule="exact"/>
        <w:jc w:val="left"/>
        <w:outlineLvl w:val="9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联系方法：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val="en-US" w:eastAsia="zh-CN"/>
        </w:rPr>
        <w:t>刘女士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0593-2961536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　　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2.采购代理机构信息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名 称：宁德市有信产权交易服务有限公司　　　　　　　　　　　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地　址：宁德市东侨经济技术开发区闽东东路15号金禾商务中心12楼　　　　　　　　　　　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联系方式：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韦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女士 0593-2292676　　　　　　　　　　　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3.项目联系方式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项目联系人：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  <w:lang w:val="en-US" w:eastAsia="zh-CN"/>
        </w:rPr>
        <w:t>韦</w:t>
      </w: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女士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电　话：0593-2292676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 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11111"/>
          <w:spacing w:val="0"/>
          <w:sz w:val="24"/>
          <w:szCs w:val="24"/>
          <w:u w:val="none"/>
          <w:shd w:val="clear" w:fill="FFFFFF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134" w:bottom="1440" w:left="1134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经典中圆繁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2E0YTlkMzViYTgzZGIzYzA4YjM5OTQ1OGIxN2EifQ=="/>
  </w:docVars>
  <w:rsids>
    <w:rsidRoot w:val="4B4549ED"/>
    <w:rsid w:val="00C14CFC"/>
    <w:rsid w:val="06A12989"/>
    <w:rsid w:val="0F3F2B86"/>
    <w:rsid w:val="1C907E54"/>
    <w:rsid w:val="31E95D68"/>
    <w:rsid w:val="4B4549ED"/>
    <w:rsid w:val="60481B9F"/>
    <w:rsid w:val="740E4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spacing w:after="0"/>
      <w:ind w:left="0" w:firstLine="420" w:firstLineChars="200"/>
    </w:pPr>
    <w:rPr>
      <w:rFonts w:ascii="宋体" w:hAnsi="宋体"/>
      <w:szCs w:val="28"/>
    </w:rPr>
  </w:style>
  <w:style w:type="paragraph" w:styleId="3">
    <w:name w:val="Body Text Indent"/>
    <w:basedOn w:val="1"/>
    <w:qFormat/>
    <w:uiPriority w:val="0"/>
    <w:pPr>
      <w:autoSpaceDE w:val="0"/>
      <w:autoSpaceDN w:val="0"/>
      <w:adjustRightInd w:val="0"/>
      <w:spacing w:after="120" w:line="360" w:lineRule="atLeast"/>
      <w:ind w:left="900"/>
    </w:pPr>
    <w:rPr>
      <w:rFonts w:ascii="楷体_GB2312" w:eastAsia="楷体_GB2312"/>
      <w:kern w:val="0"/>
      <w:sz w:val="28"/>
      <w:szCs w:val="20"/>
    </w:rPr>
  </w:style>
  <w:style w:type="paragraph" w:styleId="4">
    <w:name w:val="Body Text"/>
    <w:basedOn w:val="1"/>
    <w:next w:val="3"/>
    <w:qFormat/>
    <w:uiPriority w:val="0"/>
    <w:rPr>
      <w:rFonts w:ascii="Times New Roman" w:hAnsi="Times New Roman" w:eastAsia="经典中圆繁" w:cs="Times New Roman"/>
      <w:sz w:val="28"/>
      <w:szCs w:val="24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1090</Words>
  <Characters>1171</Characters>
  <Lines>0</Lines>
  <Paragraphs>0</Paragraphs>
  <TotalTime>3</TotalTime>
  <ScaleCrop>false</ScaleCrop>
  <LinksUpToDate>false</LinksUpToDate>
  <CharactersWithSpaces>1239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2023-11-07T07:25:00Z</dcterms:created>
  <dc:creator>一闪一闪</dc:creator>
  <cp:lastModifiedBy>一闪一闪</cp:lastModifiedBy>
  <dcterms:modified xsi:type="dcterms:W3CDTF">2023-11-09T01:17:18Z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8D34EC505880497EA4AA6D44FD2090A4_11</vt:lpwstr>
  </property>
</Properties>
</file>