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2"/>
        <w:widowControl/>
        <w:spacing w:before="75" w:beforeAutospacing="0" w:after="75" w:afterAutospacing="0"/>
        <w:jc w:val="center"/>
        <w:rPr>
          <w:rFonts w:ascii="宋体" w:hAnsi="宋体" w:cs="宋体"/>
          <w:color w:val="auto"/>
          <w:sz w:val="27"/>
          <w:szCs w:val="27"/>
          <w:highlight w:val="none"/>
        </w:rPr>
      </w:pPr>
      <w:r>
        <w:rPr>
          <w:rStyle w:val="18"/>
          <w:rFonts w:hint="eastAsia" w:ascii="宋体" w:hAnsi="宋体" w:cs="宋体"/>
          <w:color w:val="auto"/>
          <w:sz w:val="72"/>
          <w:szCs w:val="72"/>
          <w:highlight w:val="none"/>
          <w:lang w:eastAsia="zh-CN"/>
        </w:rPr>
        <w:t>宁德市农村生产要素流转融资平台展示设备采购项目</w:t>
      </w:r>
      <w:r>
        <w:rPr>
          <w:rStyle w:val="18"/>
          <w:rFonts w:hint="eastAsia" w:ascii="宋体" w:hAnsi="宋体" w:cs="宋体"/>
          <w:color w:val="auto"/>
          <w:sz w:val="72"/>
          <w:szCs w:val="72"/>
          <w:highlight w:val="none"/>
        </w:rPr>
        <w:t>竞争性磋商文件</w:t>
      </w:r>
    </w:p>
    <w:p>
      <w:pPr>
        <w:pStyle w:val="12"/>
        <w:widowControl/>
        <w:spacing w:before="75" w:beforeAutospacing="0" w:after="75" w:afterAutospacing="0"/>
        <w:jc w:val="center"/>
        <w:rPr>
          <w:rFonts w:ascii="宋体" w:hAnsi="宋体" w:cs="宋体"/>
          <w:color w:val="auto"/>
          <w:sz w:val="27"/>
          <w:szCs w:val="27"/>
          <w:highlight w:val="none"/>
        </w:rPr>
      </w:pPr>
      <w:r>
        <w:rPr>
          <w:rFonts w:hint="eastAsia" w:ascii="宋体" w:hAnsi="宋体" w:cs="宋体"/>
          <w:color w:val="auto"/>
          <w:highlight w:val="none"/>
        </w:rPr>
        <w:t> </w:t>
      </w:r>
    </w:p>
    <w:p>
      <w:pPr>
        <w:pStyle w:val="12"/>
        <w:widowControl/>
        <w:spacing w:before="75" w:beforeAutospacing="0" w:after="75" w:afterAutospacing="0"/>
        <w:rPr>
          <w:rStyle w:val="18"/>
          <w:rFonts w:ascii="宋体" w:hAnsi="宋体" w:cs="宋体"/>
          <w:color w:val="auto"/>
          <w:sz w:val="72"/>
          <w:szCs w:val="72"/>
          <w:highlight w:val="none"/>
        </w:rPr>
      </w:pPr>
      <w:r>
        <w:rPr>
          <w:rStyle w:val="18"/>
          <w:rFonts w:hint="eastAsia" w:ascii="宋体" w:hAnsi="宋体" w:cs="宋体"/>
          <w:color w:val="auto"/>
          <w:sz w:val="72"/>
          <w:szCs w:val="72"/>
          <w:highlight w:val="none"/>
        </w:rPr>
        <w:t> </w:t>
      </w:r>
    </w:p>
    <w:p>
      <w:pPr>
        <w:pStyle w:val="12"/>
        <w:widowControl/>
        <w:spacing w:before="75" w:beforeAutospacing="0" w:after="75" w:afterAutospacing="0"/>
        <w:rPr>
          <w:rStyle w:val="18"/>
          <w:rFonts w:ascii="宋体" w:hAnsi="宋体" w:cs="宋体"/>
          <w:color w:val="auto"/>
          <w:sz w:val="72"/>
          <w:szCs w:val="72"/>
          <w:highlight w:val="none"/>
        </w:rPr>
      </w:pPr>
    </w:p>
    <w:p>
      <w:pPr>
        <w:pStyle w:val="12"/>
        <w:widowControl/>
        <w:spacing w:before="75" w:beforeAutospacing="0" w:after="75" w:afterAutospacing="0"/>
        <w:rPr>
          <w:rStyle w:val="18"/>
          <w:rFonts w:ascii="宋体" w:hAnsi="宋体" w:cs="宋体"/>
          <w:color w:val="auto"/>
          <w:sz w:val="72"/>
          <w:szCs w:val="72"/>
          <w:highlight w:val="none"/>
          <w:u w:val="none"/>
        </w:rPr>
      </w:pPr>
    </w:p>
    <w:p>
      <w:pPr>
        <w:pStyle w:val="12"/>
        <w:widowControl/>
        <w:spacing w:before="75" w:beforeAutospacing="0" w:after="75" w:afterAutospacing="0"/>
        <w:ind w:firstLine="2108" w:firstLineChars="700"/>
        <w:jc w:val="both"/>
        <w:rPr>
          <w:rStyle w:val="18"/>
          <w:rFonts w:hint="eastAsia" w:ascii="宋体" w:hAnsi="宋体" w:cs="宋体"/>
          <w:color w:val="auto"/>
          <w:sz w:val="30"/>
          <w:szCs w:val="30"/>
          <w:highlight w:val="none"/>
          <w:u w:val="none"/>
          <w:lang w:eastAsia="zh-CN"/>
        </w:rPr>
      </w:pPr>
      <w:r>
        <w:rPr>
          <w:rStyle w:val="18"/>
          <w:rFonts w:hint="eastAsia" w:ascii="宋体" w:hAnsi="宋体" w:cs="宋体"/>
          <w:color w:val="auto"/>
          <w:sz w:val="30"/>
          <w:szCs w:val="30"/>
          <w:highlight w:val="none"/>
          <w:u w:val="none"/>
        </w:rPr>
        <w:t>项目名称：</w:t>
      </w:r>
      <w:r>
        <w:rPr>
          <w:rStyle w:val="18"/>
          <w:rFonts w:hint="eastAsia" w:ascii="宋体" w:hAnsi="宋体" w:cs="宋体"/>
          <w:color w:val="auto"/>
          <w:sz w:val="30"/>
          <w:szCs w:val="30"/>
          <w:highlight w:val="none"/>
          <w:u w:val="none"/>
          <w:lang w:eastAsia="zh-CN"/>
        </w:rPr>
        <w:t>宁德市农村生产要素流转融资平台</w:t>
      </w:r>
    </w:p>
    <w:p>
      <w:pPr>
        <w:pStyle w:val="12"/>
        <w:widowControl/>
        <w:spacing w:before="75" w:beforeAutospacing="0" w:after="75" w:afterAutospacing="0"/>
        <w:ind w:firstLine="3566" w:firstLineChars="1184"/>
        <w:jc w:val="both"/>
        <w:rPr>
          <w:rFonts w:hint="eastAsia" w:ascii="宋体" w:hAnsi="宋体" w:eastAsia="宋体" w:cs="宋体"/>
          <w:color w:val="auto"/>
          <w:sz w:val="27"/>
          <w:szCs w:val="27"/>
          <w:highlight w:val="none"/>
          <w:u w:val="none"/>
          <w:lang w:eastAsia="zh-CN"/>
        </w:rPr>
      </w:pPr>
      <w:r>
        <w:rPr>
          <w:rStyle w:val="18"/>
          <w:rFonts w:hint="eastAsia" w:ascii="宋体" w:hAnsi="宋体" w:cs="宋体"/>
          <w:color w:val="auto"/>
          <w:sz w:val="30"/>
          <w:szCs w:val="30"/>
          <w:highlight w:val="none"/>
          <w:u w:val="none"/>
          <w:lang w:eastAsia="zh-CN"/>
        </w:rPr>
        <w:t>展示设备采购项目</w:t>
      </w:r>
    </w:p>
    <w:p>
      <w:pPr>
        <w:pStyle w:val="12"/>
        <w:widowControl/>
        <w:spacing w:before="75" w:beforeAutospacing="0" w:after="75" w:afterAutospacing="0"/>
        <w:ind w:firstLine="2108" w:firstLineChars="700"/>
        <w:jc w:val="both"/>
        <w:rPr>
          <w:rStyle w:val="18"/>
          <w:rFonts w:ascii="宋体" w:hAnsi="宋体" w:cs="宋体"/>
          <w:color w:val="auto"/>
          <w:sz w:val="30"/>
          <w:szCs w:val="30"/>
          <w:highlight w:val="none"/>
          <w:u w:val="none"/>
        </w:rPr>
      </w:pPr>
      <w:r>
        <w:rPr>
          <w:rStyle w:val="18"/>
          <w:rFonts w:hint="eastAsia" w:ascii="宋体" w:hAnsi="宋体" w:cs="宋体"/>
          <w:color w:val="auto"/>
          <w:sz w:val="30"/>
          <w:szCs w:val="30"/>
          <w:highlight w:val="none"/>
          <w:u w:val="none"/>
        </w:rPr>
        <w:t>项目编号：NDYXCQ[CS]2023001（1）</w:t>
      </w:r>
    </w:p>
    <w:p>
      <w:pPr>
        <w:pStyle w:val="12"/>
        <w:widowControl/>
        <w:spacing w:before="75" w:beforeAutospacing="0" w:after="75" w:afterAutospacing="0"/>
        <w:ind w:firstLine="2108" w:firstLineChars="700"/>
        <w:jc w:val="both"/>
        <w:rPr>
          <w:rStyle w:val="18"/>
          <w:rFonts w:ascii="宋体" w:hAnsi="宋体" w:cs="宋体"/>
          <w:color w:val="auto"/>
          <w:sz w:val="30"/>
          <w:szCs w:val="30"/>
          <w:highlight w:val="none"/>
          <w:u w:val="none"/>
        </w:rPr>
      </w:pPr>
      <w:r>
        <w:rPr>
          <w:rStyle w:val="18"/>
          <w:rFonts w:hint="eastAsia" w:ascii="宋体" w:hAnsi="宋体" w:cs="宋体"/>
          <w:color w:val="auto"/>
          <w:sz w:val="30"/>
          <w:szCs w:val="30"/>
          <w:highlight w:val="none"/>
          <w:u w:val="none"/>
        </w:rPr>
        <w:t>采</w:t>
      </w:r>
      <w:r>
        <w:rPr>
          <w:rStyle w:val="18"/>
          <w:rFonts w:hint="eastAsia" w:ascii="宋体" w:hAnsi="宋体" w:cs="宋体"/>
          <w:color w:val="auto"/>
          <w:sz w:val="30"/>
          <w:szCs w:val="30"/>
          <w:highlight w:val="none"/>
          <w:u w:val="none"/>
          <w:lang w:val="en-US" w:eastAsia="zh-CN"/>
        </w:rPr>
        <w:t xml:space="preserve"> </w:t>
      </w:r>
      <w:r>
        <w:rPr>
          <w:rStyle w:val="18"/>
          <w:rFonts w:hint="eastAsia" w:ascii="宋体" w:hAnsi="宋体" w:cs="宋体"/>
          <w:color w:val="auto"/>
          <w:sz w:val="30"/>
          <w:szCs w:val="30"/>
          <w:highlight w:val="none"/>
          <w:u w:val="none"/>
        </w:rPr>
        <w:t>购</w:t>
      </w:r>
      <w:r>
        <w:rPr>
          <w:rStyle w:val="18"/>
          <w:rFonts w:hint="eastAsia" w:ascii="宋体" w:hAnsi="宋体" w:cs="宋体"/>
          <w:color w:val="auto"/>
          <w:sz w:val="30"/>
          <w:szCs w:val="30"/>
          <w:highlight w:val="none"/>
          <w:u w:val="none"/>
          <w:lang w:val="en-US" w:eastAsia="zh-CN"/>
        </w:rPr>
        <w:t xml:space="preserve"> </w:t>
      </w:r>
      <w:r>
        <w:rPr>
          <w:rStyle w:val="18"/>
          <w:rFonts w:hint="eastAsia" w:ascii="宋体" w:hAnsi="宋体" w:cs="宋体"/>
          <w:color w:val="auto"/>
          <w:sz w:val="30"/>
          <w:szCs w:val="30"/>
          <w:highlight w:val="none"/>
          <w:u w:val="none"/>
        </w:rPr>
        <w:t>人：宁德市汇融征信服务有限公司</w:t>
      </w:r>
    </w:p>
    <w:p>
      <w:pPr>
        <w:pStyle w:val="12"/>
        <w:widowControl/>
        <w:spacing w:before="75" w:beforeAutospacing="0" w:after="75" w:afterAutospacing="0"/>
        <w:rPr>
          <w:rFonts w:ascii="宋体" w:hAnsi="宋体" w:cs="宋体"/>
          <w:color w:val="auto"/>
          <w:sz w:val="27"/>
          <w:szCs w:val="27"/>
          <w:highlight w:val="none"/>
        </w:rPr>
      </w:pPr>
      <w:r>
        <w:rPr>
          <w:rFonts w:hint="eastAsia" w:ascii="宋体" w:hAnsi="宋体" w:cs="宋体"/>
          <w:color w:val="auto"/>
          <w:highlight w:val="none"/>
        </w:rPr>
        <w:t> </w:t>
      </w:r>
    </w:p>
    <w:p>
      <w:pPr>
        <w:pStyle w:val="12"/>
        <w:widowControl/>
        <w:spacing w:before="75" w:beforeAutospacing="0" w:after="75" w:afterAutospacing="0"/>
        <w:rPr>
          <w:rFonts w:ascii="宋体" w:hAnsi="宋体" w:cs="宋体"/>
          <w:color w:val="auto"/>
          <w:sz w:val="27"/>
          <w:szCs w:val="27"/>
          <w:highlight w:val="none"/>
        </w:rPr>
      </w:pPr>
      <w:r>
        <w:rPr>
          <w:rFonts w:hint="eastAsia" w:ascii="宋体" w:hAnsi="宋体" w:cs="宋体"/>
          <w:color w:val="auto"/>
          <w:highlight w:val="none"/>
        </w:rPr>
        <w:t> </w:t>
      </w:r>
    </w:p>
    <w:p>
      <w:pPr>
        <w:pStyle w:val="12"/>
        <w:widowControl/>
        <w:spacing w:before="75" w:beforeAutospacing="0" w:after="75" w:afterAutospacing="0"/>
        <w:rPr>
          <w:rFonts w:ascii="宋体" w:hAnsi="宋体" w:cs="宋体"/>
          <w:color w:val="auto"/>
          <w:highlight w:val="none"/>
        </w:rPr>
      </w:pPr>
      <w:r>
        <w:rPr>
          <w:rFonts w:hint="eastAsia" w:ascii="宋体" w:hAnsi="宋体" w:cs="宋体"/>
          <w:color w:val="auto"/>
          <w:highlight w:val="none"/>
        </w:rPr>
        <w:t> </w:t>
      </w:r>
    </w:p>
    <w:p>
      <w:pPr>
        <w:pStyle w:val="12"/>
        <w:widowControl/>
        <w:spacing w:before="75" w:beforeAutospacing="0" w:after="75" w:afterAutospacing="0"/>
        <w:rPr>
          <w:rFonts w:ascii="宋体" w:hAnsi="宋体" w:cs="宋体"/>
          <w:color w:val="auto"/>
          <w:highlight w:val="none"/>
        </w:rPr>
      </w:pPr>
    </w:p>
    <w:p>
      <w:pPr>
        <w:widowControl/>
        <w:jc w:val="left"/>
        <w:rPr>
          <w:rFonts w:ascii="宋体" w:hAnsi="宋体" w:cs="宋体"/>
          <w:color w:val="auto"/>
          <w:kern w:val="0"/>
          <w:sz w:val="27"/>
          <w:szCs w:val="27"/>
          <w:highlight w:val="none"/>
          <w:lang w:bidi="ar"/>
        </w:rPr>
      </w:pPr>
      <w:r>
        <w:rPr>
          <w:rFonts w:hint="eastAsia" w:ascii="宋体" w:hAnsi="宋体" w:cs="宋体"/>
          <w:color w:val="auto"/>
          <w:kern w:val="0"/>
          <w:sz w:val="27"/>
          <w:szCs w:val="27"/>
          <w:highlight w:val="none"/>
          <w:lang w:bidi="ar"/>
        </w:rPr>
        <w:t> </w:t>
      </w:r>
    </w:p>
    <w:p>
      <w:pPr>
        <w:widowControl/>
        <w:jc w:val="left"/>
        <w:rPr>
          <w:rFonts w:ascii="宋体" w:hAnsi="宋体" w:cs="宋体"/>
          <w:color w:val="auto"/>
          <w:kern w:val="0"/>
          <w:sz w:val="27"/>
          <w:szCs w:val="27"/>
          <w:highlight w:val="none"/>
          <w:lang w:bidi="ar"/>
        </w:rPr>
      </w:pPr>
    </w:p>
    <w:p>
      <w:pPr>
        <w:pStyle w:val="12"/>
        <w:widowControl/>
        <w:spacing w:before="75" w:beforeAutospacing="0" w:after="75" w:afterAutospacing="0"/>
        <w:jc w:val="center"/>
        <w:rPr>
          <w:rStyle w:val="18"/>
          <w:rFonts w:ascii="宋体" w:hAnsi="宋体" w:cs="宋体"/>
          <w:color w:val="auto"/>
          <w:sz w:val="28"/>
          <w:szCs w:val="28"/>
          <w:highlight w:val="none"/>
        </w:rPr>
      </w:pPr>
      <w:r>
        <w:rPr>
          <w:rStyle w:val="18"/>
          <w:rFonts w:hint="eastAsia" w:ascii="宋体" w:hAnsi="宋体" w:cs="宋体"/>
          <w:color w:val="auto"/>
          <w:sz w:val="28"/>
          <w:szCs w:val="28"/>
          <w:highlight w:val="none"/>
        </w:rPr>
        <w:t>宁德市有信产权交易服务有限公司</w:t>
      </w:r>
    </w:p>
    <w:p>
      <w:pPr>
        <w:pStyle w:val="12"/>
        <w:widowControl/>
        <w:spacing w:before="75" w:beforeAutospacing="0" w:after="75" w:afterAutospacing="0"/>
        <w:jc w:val="center"/>
        <w:rPr>
          <w:rFonts w:ascii="宋体" w:hAnsi="宋体" w:cs="宋体"/>
          <w:color w:val="auto"/>
          <w:sz w:val="27"/>
          <w:szCs w:val="27"/>
          <w:highlight w:val="none"/>
        </w:rPr>
      </w:pPr>
      <w:r>
        <w:rPr>
          <w:rStyle w:val="18"/>
          <w:rFonts w:hint="eastAsia" w:ascii="宋体" w:hAnsi="宋体" w:cs="宋体"/>
          <w:color w:val="auto"/>
          <w:sz w:val="28"/>
          <w:szCs w:val="28"/>
          <w:highlight w:val="none"/>
        </w:rPr>
        <w:t>2023年1月</w:t>
      </w:r>
    </w:p>
    <w:p>
      <w:pPr>
        <w:pStyle w:val="12"/>
        <w:widowControl/>
        <w:spacing w:before="75" w:beforeAutospacing="0" w:after="75" w:afterAutospacing="0"/>
        <w:jc w:val="center"/>
        <w:rPr>
          <w:rFonts w:ascii="宋体" w:hAnsi="宋体" w:cs="宋体"/>
          <w:color w:val="auto"/>
          <w:highlight w:val="none"/>
        </w:rPr>
      </w:pPr>
    </w:p>
    <w:p>
      <w:pPr>
        <w:jc w:val="center"/>
        <w:rPr>
          <w:color w:val="auto"/>
          <w:highlight w:val="none"/>
        </w:rPr>
      </w:pPr>
      <w:r>
        <w:rPr>
          <w:rFonts w:ascii="宋体" w:hAnsi="宋体"/>
          <w:color w:val="auto"/>
          <w:highlight w:val="none"/>
        </w:rPr>
        <w:br w:type="page"/>
      </w:r>
      <w:r>
        <w:rPr>
          <w:rFonts w:ascii="宋体" w:hAnsi="宋体"/>
          <w:b/>
          <w:bCs/>
          <w:color w:val="auto"/>
          <w:sz w:val="52"/>
          <w:szCs w:val="72"/>
          <w:highlight w:val="none"/>
        </w:rPr>
        <w:t>目录</w:t>
      </w:r>
    </w:p>
    <w:p>
      <w:pPr>
        <w:pStyle w:val="10"/>
        <w:tabs>
          <w:tab w:val="right" w:leader="dot" w:pos="9746"/>
        </w:tabs>
        <w:rPr>
          <w:color w:val="auto"/>
          <w:sz w:val="32"/>
          <w:szCs w:val="40"/>
          <w:highlight w:val="none"/>
        </w:rPr>
      </w:pPr>
      <w:r>
        <w:rPr>
          <w:color w:val="auto"/>
          <w:highlight w:val="none"/>
        </w:rPr>
        <w:fldChar w:fldCharType="begin"/>
      </w:r>
      <w:r>
        <w:rPr>
          <w:color w:val="auto"/>
          <w:highlight w:val="none"/>
        </w:rPr>
        <w:instrText xml:space="preserve">TOC \o "1-1" \h \u </w:instrText>
      </w:r>
      <w:r>
        <w:rPr>
          <w:color w:val="auto"/>
          <w:highlight w:val="none"/>
        </w:rPr>
        <w:fldChar w:fldCharType="separate"/>
      </w:r>
      <w:r>
        <w:rPr>
          <w:color w:val="auto"/>
          <w:highlight w:val="none"/>
        </w:rPr>
        <w:fldChar w:fldCharType="begin"/>
      </w:r>
      <w:r>
        <w:rPr>
          <w:color w:val="auto"/>
          <w:highlight w:val="none"/>
        </w:rPr>
        <w:instrText xml:space="preserve"> HYPERLINK \l "_Toc20640" </w:instrText>
      </w:r>
      <w:r>
        <w:rPr>
          <w:color w:val="auto"/>
          <w:highlight w:val="none"/>
        </w:rPr>
        <w:fldChar w:fldCharType="separate"/>
      </w:r>
      <w:r>
        <w:rPr>
          <w:rFonts w:hint="eastAsia" w:ascii="宋体" w:hAnsi="宋体" w:cs="宋体"/>
          <w:color w:val="auto"/>
          <w:sz w:val="32"/>
          <w:szCs w:val="56"/>
          <w:highlight w:val="none"/>
        </w:rPr>
        <w:t>第一章  采购邀请书</w:t>
      </w:r>
      <w:r>
        <w:rPr>
          <w:color w:val="auto"/>
          <w:sz w:val="32"/>
          <w:szCs w:val="40"/>
          <w:highlight w:val="none"/>
        </w:rPr>
        <w:tab/>
      </w:r>
      <w:r>
        <w:rPr>
          <w:rFonts w:hint="eastAsia"/>
          <w:color w:val="auto"/>
          <w:sz w:val="32"/>
          <w:szCs w:val="40"/>
          <w:highlight w:val="none"/>
        </w:rPr>
        <w:t>3</w:t>
      </w:r>
      <w:r>
        <w:rPr>
          <w:rFonts w:hint="eastAsia"/>
          <w:color w:val="auto"/>
          <w:sz w:val="32"/>
          <w:szCs w:val="40"/>
          <w:highlight w:val="none"/>
        </w:rPr>
        <w:fldChar w:fldCharType="end"/>
      </w:r>
    </w:p>
    <w:p>
      <w:pPr>
        <w:pStyle w:val="10"/>
        <w:tabs>
          <w:tab w:val="right" w:leader="dot" w:pos="9746"/>
        </w:tabs>
        <w:rPr>
          <w:color w:val="auto"/>
          <w:sz w:val="32"/>
          <w:szCs w:val="40"/>
          <w:highlight w:val="none"/>
        </w:rPr>
      </w:pPr>
      <w:r>
        <w:rPr>
          <w:color w:val="auto"/>
          <w:highlight w:val="none"/>
        </w:rPr>
        <w:fldChar w:fldCharType="begin"/>
      </w:r>
      <w:r>
        <w:rPr>
          <w:color w:val="auto"/>
          <w:highlight w:val="none"/>
        </w:rPr>
        <w:instrText xml:space="preserve"> HYPERLINK \l "_Toc23619" </w:instrText>
      </w:r>
      <w:r>
        <w:rPr>
          <w:color w:val="auto"/>
          <w:highlight w:val="none"/>
        </w:rPr>
        <w:fldChar w:fldCharType="separate"/>
      </w:r>
      <w:r>
        <w:rPr>
          <w:rFonts w:hint="eastAsia" w:ascii="宋体" w:hAnsi="宋体" w:cs="宋体"/>
          <w:color w:val="auto"/>
          <w:sz w:val="32"/>
          <w:szCs w:val="56"/>
          <w:highlight w:val="none"/>
        </w:rPr>
        <w:t>第二章  竞争性磋商须知</w:t>
      </w:r>
      <w:r>
        <w:rPr>
          <w:color w:val="auto"/>
          <w:sz w:val="32"/>
          <w:szCs w:val="40"/>
          <w:highlight w:val="none"/>
        </w:rPr>
        <w:tab/>
      </w:r>
      <w:r>
        <w:rPr>
          <w:color w:val="auto"/>
          <w:sz w:val="32"/>
          <w:szCs w:val="40"/>
          <w:highlight w:val="none"/>
        </w:rPr>
        <w:fldChar w:fldCharType="begin"/>
      </w:r>
      <w:r>
        <w:rPr>
          <w:color w:val="auto"/>
          <w:sz w:val="32"/>
          <w:szCs w:val="40"/>
          <w:highlight w:val="none"/>
        </w:rPr>
        <w:instrText xml:space="preserve"> PAGEREF _Toc23619 </w:instrText>
      </w:r>
      <w:r>
        <w:rPr>
          <w:color w:val="auto"/>
          <w:sz w:val="32"/>
          <w:szCs w:val="40"/>
          <w:highlight w:val="none"/>
        </w:rPr>
        <w:fldChar w:fldCharType="separate"/>
      </w:r>
      <w:r>
        <w:rPr>
          <w:color w:val="auto"/>
          <w:sz w:val="32"/>
          <w:szCs w:val="40"/>
          <w:highlight w:val="none"/>
        </w:rPr>
        <w:t>7</w:t>
      </w:r>
      <w:r>
        <w:rPr>
          <w:color w:val="auto"/>
          <w:sz w:val="32"/>
          <w:szCs w:val="40"/>
          <w:highlight w:val="none"/>
        </w:rPr>
        <w:fldChar w:fldCharType="end"/>
      </w:r>
      <w:r>
        <w:rPr>
          <w:color w:val="auto"/>
          <w:sz w:val="32"/>
          <w:szCs w:val="40"/>
          <w:highlight w:val="none"/>
        </w:rPr>
        <w:fldChar w:fldCharType="end"/>
      </w:r>
    </w:p>
    <w:p>
      <w:pPr>
        <w:pStyle w:val="10"/>
        <w:tabs>
          <w:tab w:val="right" w:leader="dot" w:pos="9746"/>
        </w:tabs>
        <w:rPr>
          <w:color w:val="auto"/>
          <w:sz w:val="32"/>
          <w:szCs w:val="40"/>
          <w:highlight w:val="none"/>
        </w:rPr>
      </w:pPr>
      <w:r>
        <w:rPr>
          <w:color w:val="auto"/>
          <w:highlight w:val="none"/>
        </w:rPr>
        <w:fldChar w:fldCharType="begin"/>
      </w:r>
      <w:r>
        <w:rPr>
          <w:color w:val="auto"/>
          <w:highlight w:val="none"/>
        </w:rPr>
        <w:instrText xml:space="preserve"> HYPERLINK \l "_Toc23040" </w:instrText>
      </w:r>
      <w:r>
        <w:rPr>
          <w:color w:val="auto"/>
          <w:highlight w:val="none"/>
        </w:rPr>
        <w:fldChar w:fldCharType="separate"/>
      </w:r>
      <w:r>
        <w:rPr>
          <w:rFonts w:hint="eastAsia" w:ascii="宋体" w:hAnsi="宋体" w:cs="宋体"/>
          <w:color w:val="auto"/>
          <w:sz w:val="32"/>
          <w:szCs w:val="52"/>
          <w:highlight w:val="none"/>
        </w:rPr>
        <w:t>第三章  采购内容及要求</w:t>
      </w:r>
      <w:r>
        <w:rPr>
          <w:color w:val="auto"/>
          <w:sz w:val="32"/>
          <w:szCs w:val="40"/>
          <w:highlight w:val="none"/>
        </w:rPr>
        <w:tab/>
      </w:r>
      <w:r>
        <w:rPr>
          <w:color w:val="auto"/>
          <w:sz w:val="32"/>
          <w:szCs w:val="40"/>
          <w:highlight w:val="none"/>
        </w:rPr>
        <w:fldChar w:fldCharType="begin"/>
      </w:r>
      <w:r>
        <w:rPr>
          <w:color w:val="auto"/>
          <w:sz w:val="32"/>
          <w:szCs w:val="40"/>
          <w:highlight w:val="none"/>
        </w:rPr>
        <w:instrText xml:space="preserve"> PAGEREF _Toc23040 </w:instrText>
      </w:r>
      <w:r>
        <w:rPr>
          <w:color w:val="auto"/>
          <w:sz w:val="32"/>
          <w:szCs w:val="40"/>
          <w:highlight w:val="none"/>
        </w:rPr>
        <w:fldChar w:fldCharType="separate"/>
      </w:r>
      <w:r>
        <w:rPr>
          <w:color w:val="auto"/>
          <w:sz w:val="32"/>
          <w:szCs w:val="40"/>
          <w:highlight w:val="none"/>
        </w:rPr>
        <w:t>33</w:t>
      </w:r>
      <w:r>
        <w:rPr>
          <w:color w:val="auto"/>
          <w:sz w:val="32"/>
          <w:szCs w:val="40"/>
          <w:highlight w:val="none"/>
        </w:rPr>
        <w:fldChar w:fldCharType="end"/>
      </w:r>
      <w:r>
        <w:rPr>
          <w:color w:val="auto"/>
          <w:sz w:val="32"/>
          <w:szCs w:val="40"/>
          <w:highlight w:val="none"/>
        </w:rPr>
        <w:fldChar w:fldCharType="end"/>
      </w:r>
    </w:p>
    <w:p>
      <w:pPr>
        <w:pStyle w:val="10"/>
        <w:tabs>
          <w:tab w:val="right" w:leader="dot" w:pos="9746"/>
        </w:tabs>
        <w:rPr>
          <w:color w:val="auto"/>
          <w:sz w:val="32"/>
          <w:szCs w:val="40"/>
          <w:highlight w:val="none"/>
        </w:rPr>
      </w:pPr>
      <w:r>
        <w:rPr>
          <w:color w:val="auto"/>
          <w:highlight w:val="none"/>
        </w:rPr>
        <w:fldChar w:fldCharType="begin"/>
      </w:r>
      <w:r>
        <w:rPr>
          <w:color w:val="auto"/>
          <w:highlight w:val="none"/>
        </w:rPr>
        <w:instrText xml:space="preserve"> HYPERLINK \l "_Toc29723" </w:instrText>
      </w:r>
      <w:r>
        <w:rPr>
          <w:color w:val="auto"/>
          <w:highlight w:val="none"/>
        </w:rPr>
        <w:fldChar w:fldCharType="separate"/>
      </w:r>
      <w:r>
        <w:rPr>
          <w:rFonts w:hint="eastAsia" w:ascii="宋体" w:hAnsi="宋体" w:cs="宋体"/>
          <w:color w:val="auto"/>
          <w:sz w:val="32"/>
          <w:szCs w:val="52"/>
          <w:highlight w:val="none"/>
        </w:rPr>
        <w:t>第四章  合同主要条款及格式</w:t>
      </w:r>
      <w:r>
        <w:rPr>
          <w:color w:val="auto"/>
          <w:sz w:val="32"/>
          <w:szCs w:val="40"/>
          <w:highlight w:val="none"/>
        </w:rPr>
        <w:tab/>
      </w:r>
      <w:r>
        <w:rPr>
          <w:color w:val="auto"/>
          <w:sz w:val="32"/>
          <w:szCs w:val="40"/>
          <w:highlight w:val="none"/>
        </w:rPr>
        <w:fldChar w:fldCharType="begin"/>
      </w:r>
      <w:r>
        <w:rPr>
          <w:color w:val="auto"/>
          <w:sz w:val="32"/>
          <w:szCs w:val="40"/>
          <w:highlight w:val="none"/>
        </w:rPr>
        <w:instrText xml:space="preserve"> PAGEREF _Toc29723 </w:instrText>
      </w:r>
      <w:r>
        <w:rPr>
          <w:color w:val="auto"/>
          <w:sz w:val="32"/>
          <w:szCs w:val="40"/>
          <w:highlight w:val="none"/>
        </w:rPr>
        <w:fldChar w:fldCharType="separate"/>
      </w:r>
      <w:r>
        <w:rPr>
          <w:color w:val="auto"/>
          <w:sz w:val="32"/>
          <w:szCs w:val="40"/>
          <w:highlight w:val="none"/>
        </w:rPr>
        <w:t>42</w:t>
      </w:r>
      <w:r>
        <w:rPr>
          <w:color w:val="auto"/>
          <w:sz w:val="32"/>
          <w:szCs w:val="40"/>
          <w:highlight w:val="none"/>
        </w:rPr>
        <w:fldChar w:fldCharType="end"/>
      </w:r>
      <w:r>
        <w:rPr>
          <w:color w:val="auto"/>
          <w:sz w:val="32"/>
          <w:szCs w:val="40"/>
          <w:highlight w:val="none"/>
        </w:rPr>
        <w:fldChar w:fldCharType="end"/>
      </w:r>
    </w:p>
    <w:p>
      <w:pPr>
        <w:pStyle w:val="10"/>
        <w:tabs>
          <w:tab w:val="right" w:leader="dot" w:pos="9746"/>
        </w:tabs>
        <w:rPr>
          <w:color w:val="auto"/>
          <w:sz w:val="32"/>
          <w:szCs w:val="40"/>
          <w:highlight w:val="none"/>
        </w:rPr>
      </w:pPr>
      <w:r>
        <w:rPr>
          <w:color w:val="auto"/>
          <w:highlight w:val="none"/>
        </w:rPr>
        <w:fldChar w:fldCharType="begin"/>
      </w:r>
      <w:r>
        <w:rPr>
          <w:color w:val="auto"/>
          <w:highlight w:val="none"/>
        </w:rPr>
        <w:instrText xml:space="preserve"> HYPERLINK \l "_Toc22601" </w:instrText>
      </w:r>
      <w:r>
        <w:rPr>
          <w:color w:val="auto"/>
          <w:highlight w:val="none"/>
        </w:rPr>
        <w:fldChar w:fldCharType="separate"/>
      </w:r>
      <w:r>
        <w:rPr>
          <w:rFonts w:hint="eastAsia" w:ascii="宋体" w:hAnsi="宋体" w:cs="宋体"/>
          <w:color w:val="auto"/>
          <w:sz w:val="32"/>
          <w:szCs w:val="52"/>
          <w:highlight w:val="none"/>
        </w:rPr>
        <w:t>第五章  首次响应文件格式</w:t>
      </w:r>
      <w:r>
        <w:rPr>
          <w:color w:val="auto"/>
          <w:sz w:val="32"/>
          <w:szCs w:val="40"/>
          <w:highlight w:val="none"/>
        </w:rPr>
        <w:tab/>
      </w:r>
      <w:r>
        <w:rPr>
          <w:color w:val="auto"/>
          <w:sz w:val="32"/>
          <w:szCs w:val="40"/>
          <w:highlight w:val="none"/>
        </w:rPr>
        <w:fldChar w:fldCharType="begin"/>
      </w:r>
      <w:r>
        <w:rPr>
          <w:color w:val="auto"/>
          <w:sz w:val="32"/>
          <w:szCs w:val="40"/>
          <w:highlight w:val="none"/>
        </w:rPr>
        <w:instrText xml:space="preserve"> PAGEREF _Toc22601 </w:instrText>
      </w:r>
      <w:r>
        <w:rPr>
          <w:color w:val="auto"/>
          <w:sz w:val="32"/>
          <w:szCs w:val="40"/>
          <w:highlight w:val="none"/>
        </w:rPr>
        <w:fldChar w:fldCharType="separate"/>
      </w:r>
      <w:r>
        <w:rPr>
          <w:color w:val="auto"/>
          <w:sz w:val="32"/>
          <w:szCs w:val="40"/>
          <w:highlight w:val="none"/>
        </w:rPr>
        <w:t>45</w:t>
      </w:r>
      <w:r>
        <w:rPr>
          <w:color w:val="auto"/>
          <w:sz w:val="32"/>
          <w:szCs w:val="40"/>
          <w:highlight w:val="none"/>
        </w:rPr>
        <w:fldChar w:fldCharType="end"/>
      </w:r>
      <w:r>
        <w:rPr>
          <w:color w:val="auto"/>
          <w:sz w:val="32"/>
          <w:szCs w:val="40"/>
          <w:highlight w:val="none"/>
        </w:rPr>
        <w:fldChar w:fldCharType="end"/>
      </w:r>
    </w:p>
    <w:p>
      <w:pPr>
        <w:pStyle w:val="10"/>
        <w:tabs>
          <w:tab w:val="right" w:leader="dot" w:pos="9746"/>
        </w:tabs>
        <w:rPr>
          <w:color w:val="auto"/>
          <w:highlight w:val="none"/>
        </w:rPr>
      </w:pPr>
    </w:p>
    <w:p>
      <w:pPr>
        <w:rPr>
          <w:color w:val="auto"/>
          <w:highlight w:val="none"/>
        </w:rPr>
      </w:pPr>
      <w:r>
        <w:rPr>
          <w:color w:val="auto"/>
          <w:highlight w:val="none"/>
        </w:rPr>
        <w:fldChar w:fldCharType="end"/>
      </w:r>
    </w:p>
    <w:p>
      <w:pPr>
        <w:pStyle w:val="12"/>
        <w:widowControl/>
        <w:spacing w:before="75" w:beforeAutospacing="0" w:after="75" w:afterAutospacing="0"/>
        <w:jc w:val="center"/>
        <w:outlineLvl w:val="0"/>
        <w:rPr>
          <w:rStyle w:val="18"/>
          <w:rFonts w:ascii="宋体" w:hAnsi="宋体" w:cs="宋体"/>
          <w:color w:val="auto"/>
          <w:sz w:val="36"/>
          <w:szCs w:val="36"/>
          <w:highlight w:val="none"/>
        </w:rPr>
      </w:pPr>
      <w:bookmarkStart w:id="0" w:name="_Toc20640"/>
    </w:p>
    <w:p>
      <w:pPr>
        <w:pStyle w:val="12"/>
        <w:widowControl/>
        <w:spacing w:before="75" w:beforeAutospacing="0" w:after="75" w:afterAutospacing="0"/>
        <w:jc w:val="center"/>
        <w:outlineLvl w:val="0"/>
        <w:rPr>
          <w:rStyle w:val="18"/>
          <w:rFonts w:ascii="宋体" w:hAnsi="宋体" w:cs="宋体"/>
          <w:color w:val="auto"/>
          <w:sz w:val="43"/>
          <w:szCs w:val="43"/>
          <w:highlight w:val="none"/>
        </w:rPr>
      </w:pPr>
      <w:r>
        <w:rPr>
          <w:rStyle w:val="18"/>
          <w:rFonts w:hint="eastAsia" w:ascii="宋体" w:hAnsi="宋体" w:cs="宋体"/>
          <w:color w:val="auto"/>
          <w:sz w:val="36"/>
          <w:szCs w:val="36"/>
          <w:highlight w:val="none"/>
        </w:rPr>
        <w:t> </w:t>
      </w:r>
      <w:r>
        <w:rPr>
          <w:rStyle w:val="18"/>
          <w:rFonts w:hint="eastAsia" w:ascii="宋体" w:hAnsi="宋体" w:cs="宋体"/>
          <w:color w:val="auto"/>
          <w:sz w:val="43"/>
          <w:szCs w:val="43"/>
          <w:highlight w:val="none"/>
        </w:rPr>
        <w:br w:type="page"/>
      </w:r>
      <w:bookmarkStart w:id="37" w:name="_GoBack"/>
      <w:bookmarkEnd w:id="37"/>
    </w:p>
    <w:p>
      <w:pPr>
        <w:pStyle w:val="12"/>
        <w:widowControl/>
        <w:spacing w:before="75" w:beforeAutospacing="0" w:after="75" w:afterAutospacing="0"/>
        <w:jc w:val="center"/>
        <w:outlineLvl w:val="0"/>
        <w:rPr>
          <w:rFonts w:ascii="宋体" w:hAnsi="宋体" w:cs="宋体"/>
          <w:color w:val="auto"/>
          <w:highlight w:val="none"/>
        </w:rPr>
      </w:pPr>
      <w:r>
        <w:rPr>
          <w:rStyle w:val="18"/>
          <w:rFonts w:hint="eastAsia" w:ascii="宋体" w:hAnsi="宋体" w:cs="宋体"/>
          <w:color w:val="auto"/>
          <w:sz w:val="43"/>
          <w:szCs w:val="43"/>
          <w:highlight w:val="none"/>
        </w:rPr>
        <w:t>第一章  采购邀请书</w:t>
      </w:r>
      <w:r>
        <w:rPr>
          <w:rFonts w:hint="eastAsia" w:ascii="宋体" w:hAnsi="宋体" w:cs="宋体"/>
          <w:color w:val="auto"/>
          <w:highlight w:val="none"/>
        </w:rPr>
        <w:t> </w:t>
      </w:r>
      <w:bookmarkEnd w:id="0"/>
    </w:p>
    <w:p>
      <w:pPr>
        <w:pStyle w:val="12"/>
        <w:widowControl/>
        <w:spacing w:before="75" w:beforeAutospacing="0" w:after="75" w:afterAutospacing="0"/>
        <w:jc w:val="center"/>
        <w:rPr>
          <w:rFonts w:ascii="宋体" w:hAnsi="宋体" w:cs="宋体"/>
          <w:color w:val="auto"/>
          <w:highlight w:val="none"/>
        </w:rPr>
      </w:pPr>
      <w:bookmarkStart w:id="1" w:name="_Toc19927_WPSOffice_Level1"/>
      <w:r>
        <w:rPr>
          <w:rStyle w:val="18"/>
          <w:rFonts w:hint="eastAsia" w:ascii="宋体" w:hAnsi="宋体" w:cs="宋体"/>
          <w:color w:val="auto"/>
          <w:sz w:val="36"/>
          <w:szCs w:val="36"/>
          <w:highlight w:val="none"/>
        </w:rPr>
        <w:t>竞争性磋商采购公告</w:t>
      </w:r>
      <w:bookmarkEnd w:id="1"/>
    </w:p>
    <w:p>
      <w:pPr>
        <w:pStyle w:val="12"/>
        <w:widowControl/>
        <w:spacing w:before="75" w:beforeAutospacing="0" w:after="75" w:afterAutospacing="0" w:line="435" w:lineRule="atLeast"/>
        <w:ind w:firstLine="480" w:firstLineChars="200"/>
        <w:rPr>
          <w:rFonts w:ascii="宋体" w:hAnsi="宋体" w:cs="宋体"/>
          <w:color w:val="auto"/>
          <w:highlight w:val="none"/>
        </w:rPr>
      </w:pPr>
      <w:r>
        <w:rPr>
          <w:rFonts w:hint="eastAsia" w:ascii="宋体" w:hAnsi="宋体" w:cs="宋体"/>
          <w:color w:val="auto"/>
          <w:highlight w:val="none"/>
          <w:u w:val="single"/>
        </w:rPr>
        <w:t>宁德市汇融征信服务有限公司</w:t>
      </w:r>
      <w:r>
        <w:rPr>
          <w:rFonts w:hint="eastAsia" w:ascii="宋体" w:hAnsi="宋体" w:cs="宋体"/>
          <w:color w:val="auto"/>
          <w:highlight w:val="none"/>
        </w:rPr>
        <w:t>参照政府采购相关法律法规及规范性文件，经相应程序确定采用</w:t>
      </w:r>
      <w:r>
        <w:rPr>
          <w:rFonts w:hint="eastAsia" w:ascii="宋体" w:hAnsi="宋体" w:cs="宋体"/>
          <w:color w:val="auto"/>
          <w:highlight w:val="none"/>
          <w:u w:val="single"/>
        </w:rPr>
        <w:t>竞争性磋商</w:t>
      </w:r>
      <w:r>
        <w:rPr>
          <w:rFonts w:hint="eastAsia" w:ascii="宋体" w:hAnsi="宋体" w:cs="宋体"/>
          <w:color w:val="auto"/>
          <w:highlight w:val="none"/>
        </w:rPr>
        <w:t>方式组织</w:t>
      </w:r>
      <w:r>
        <w:rPr>
          <w:rFonts w:hint="eastAsia" w:ascii="宋体" w:hAnsi="宋体" w:cs="宋体"/>
          <w:color w:val="auto"/>
          <w:highlight w:val="none"/>
          <w:u w:val="single"/>
          <w:lang w:eastAsia="zh-CN"/>
        </w:rPr>
        <w:t>宁德市农村生产要素流转融资平台展示设备采购项目</w:t>
      </w:r>
      <w:r>
        <w:rPr>
          <w:rFonts w:hint="eastAsia" w:ascii="宋体" w:hAnsi="宋体" w:cs="宋体"/>
          <w:color w:val="auto"/>
          <w:highlight w:val="none"/>
        </w:rPr>
        <w:t>（以下简称：“本项目”）的采购活动，现欢迎国内合格的供应商前来参加。本项目由采购人委托</w:t>
      </w:r>
      <w:r>
        <w:rPr>
          <w:rFonts w:hint="eastAsia" w:ascii="宋体" w:hAnsi="宋体" w:cs="宋体"/>
          <w:color w:val="auto"/>
          <w:highlight w:val="none"/>
          <w:u w:val="single"/>
        </w:rPr>
        <w:t>宁德市有信产权交易服务有限公司</w:t>
      </w:r>
      <w:r>
        <w:rPr>
          <w:rFonts w:hint="eastAsia" w:ascii="宋体" w:hAnsi="宋体" w:cs="宋体"/>
          <w:color w:val="auto"/>
          <w:highlight w:val="none"/>
        </w:rPr>
        <w:t>开展竞争性磋商活动。</w:t>
      </w:r>
    </w:p>
    <w:p>
      <w:pPr>
        <w:pStyle w:val="12"/>
        <w:widowControl/>
        <w:numPr>
          <w:ilvl w:val="0"/>
          <w:numId w:val="1"/>
        </w:numPr>
        <w:spacing w:before="75" w:beforeAutospacing="0" w:after="75" w:afterAutospacing="0" w:line="435" w:lineRule="atLeast"/>
        <w:ind w:firstLine="480" w:firstLineChars="200"/>
        <w:rPr>
          <w:rFonts w:ascii="宋体" w:hAnsi="宋体" w:cs="宋体"/>
          <w:color w:val="auto"/>
          <w:highlight w:val="none"/>
        </w:rPr>
      </w:pPr>
      <w:r>
        <w:rPr>
          <w:rFonts w:hint="eastAsia" w:ascii="宋体" w:hAnsi="宋体" w:cs="宋体"/>
          <w:color w:val="auto"/>
          <w:highlight w:val="none"/>
        </w:rPr>
        <w:t>项目名称：</w:t>
      </w:r>
      <w:r>
        <w:rPr>
          <w:rFonts w:hint="eastAsia" w:ascii="宋体" w:hAnsi="宋体" w:cs="宋体"/>
          <w:color w:val="auto"/>
          <w:highlight w:val="none"/>
          <w:lang w:eastAsia="zh-CN"/>
        </w:rPr>
        <w:t>宁德市农村生产要素流转融资平台展示设备采购项目</w:t>
      </w:r>
      <w:r>
        <w:rPr>
          <w:rFonts w:hint="eastAsia" w:ascii="宋体" w:hAnsi="宋体" w:cs="宋体"/>
          <w:color w:val="auto"/>
          <w:highlight w:val="none"/>
        </w:rPr>
        <w:t>。</w:t>
      </w:r>
    </w:p>
    <w:p>
      <w:pPr>
        <w:pStyle w:val="12"/>
        <w:widowControl/>
        <w:numPr>
          <w:ilvl w:val="0"/>
          <w:numId w:val="1"/>
        </w:numPr>
        <w:spacing w:before="75" w:beforeAutospacing="0" w:after="75" w:afterAutospacing="0" w:line="435" w:lineRule="atLeast"/>
        <w:ind w:firstLine="480" w:firstLineChars="200"/>
        <w:rPr>
          <w:rFonts w:ascii="宋体" w:hAnsi="宋体" w:cs="宋体"/>
          <w:color w:val="auto"/>
          <w:highlight w:val="none"/>
        </w:rPr>
      </w:pPr>
      <w:r>
        <w:rPr>
          <w:rFonts w:hint="eastAsia" w:ascii="宋体" w:hAnsi="宋体" w:cs="宋体"/>
          <w:color w:val="auto"/>
          <w:highlight w:val="none"/>
        </w:rPr>
        <w:t>项目编号：NDYXCQ[CS]2023001（1）。</w:t>
      </w:r>
    </w:p>
    <w:p>
      <w:pPr>
        <w:widowControl/>
        <w:numPr>
          <w:ilvl w:val="0"/>
          <w:numId w:val="1"/>
        </w:numPr>
        <w:spacing w:line="50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采购内容及要求：详见《采购标的一览表》及竞争性磋商文件第三章。</w:t>
      </w:r>
    </w:p>
    <w:p>
      <w:pPr>
        <w:widowControl/>
        <w:numPr>
          <w:ilvl w:val="0"/>
          <w:numId w:val="1"/>
        </w:numPr>
        <w:spacing w:line="50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采购项目需要落实的政府采购政策：信用记录，适用于本项目，按照下列规定执行：（1）供应商可在响应文件递交截止时间前分别通过“信用中国”网站（www.creditchina.gov.cn）、中国政府采购网（www.ccgp.gov.cn）查询并打印相应的信用记录（以下简称：“供应商提供的查询结果”），查询结果为上述网站获取的信用信息查询结果原始页面的打印件（或截图）。（2）查询结果的审查：①由磋商小组通过上述网站查询供应商信用记录（以下简称：“资格审查小组的查询结果”）。②供应商提供的查询结果与磋商小组的查询结果不一致的或者供应商未提供的，以磋商小组的查询结果为准。③因上述网站原因导致磋商小组无法查询供应商信用记录的（资格审查小组应将通过上述网站查询供应商信用记录时的原始页面打印后随采购文件一并存档），以供应商提供的查询结果为准。④查询结果存在供应商应被拒绝参与政府采购活动相关信息的，其资格审查不合格。其他政策详见磋商文件要求。</w:t>
      </w:r>
    </w:p>
    <w:p>
      <w:pPr>
        <w:pStyle w:val="12"/>
        <w:widowControl/>
        <w:spacing w:before="75" w:beforeAutospacing="0" w:after="75" w:afterAutospacing="0" w:line="435" w:lineRule="atLeast"/>
        <w:ind w:firstLine="480"/>
        <w:rPr>
          <w:rFonts w:ascii="宋体" w:hAnsi="宋体" w:cs="宋体"/>
          <w:color w:val="auto"/>
          <w:highlight w:val="none"/>
        </w:rPr>
      </w:pPr>
      <w:r>
        <w:rPr>
          <w:rFonts w:hint="eastAsia" w:ascii="宋体" w:hAnsi="宋体" w:cs="宋体"/>
          <w:color w:val="auto"/>
          <w:highlight w:val="none"/>
        </w:rPr>
        <w:t>5.供应商的资格要求：</w:t>
      </w:r>
    </w:p>
    <w:p>
      <w:pPr>
        <w:widowControl/>
        <w:spacing w:line="500" w:lineRule="exact"/>
        <w:ind w:firstLine="480" w:firstLineChars="200"/>
        <w:jc w:val="left"/>
        <w:rPr>
          <w:rFonts w:ascii="宋体" w:hAnsi="宋体" w:cs="宋体"/>
          <w:color w:val="auto"/>
          <w:kern w:val="0"/>
          <w:sz w:val="24"/>
          <w:highlight w:val="none"/>
          <w:shd w:val="clear" w:color="auto" w:fill="FFFFFF"/>
        </w:rPr>
      </w:pPr>
      <w:r>
        <w:rPr>
          <w:rFonts w:hint="eastAsia" w:ascii="宋体" w:hAnsi="宋体" w:cs="宋体"/>
          <w:color w:val="auto"/>
          <w:kern w:val="0"/>
          <w:sz w:val="24"/>
          <w:highlight w:val="none"/>
          <w:shd w:val="clear" w:color="auto" w:fill="FFFFFF"/>
        </w:rPr>
        <w:t>5.1法定条件：符合《中华人民共和国政府采购法》第二十二条第一款规定的条件。</w:t>
      </w:r>
    </w:p>
    <w:p>
      <w:pPr>
        <w:spacing w:line="500" w:lineRule="exact"/>
        <w:ind w:firstLine="484" w:firstLineChars="202"/>
        <w:rPr>
          <w:rFonts w:ascii="宋体" w:hAnsi="宋体" w:cs="宋体"/>
          <w:color w:val="auto"/>
          <w:szCs w:val="21"/>
          <w:highlight w:val="none"/>
        </w:rPr>
      </w:pPr>
      <w:r>
        <w:rPr>
          <w:rFonts w:hint="eastAsia" w:ascii="宋体" w:hAnsi="宋体" w:cs="宋体"/>
          <w:color w:val="auto"/>
          <w:kern w:val="0"/>
          <w:sz w:val="24"/>
          <w:highlight w:val="none"/>
          <w:shd w:val="clear" w:color="auto" w:fill="FFFFFF"/>
        </w:rPr>
        <w:t>5.2特定条件：/</w:t>
      </w:r>
    </w:p>
    <w:p>
      <w:pPr>
        <w:widowControl/>
        <w:spacing w:line="500" w:lineRule="exact"/>
        <w:ind w:firstLine="480"/>
        <w:jc w:val="left"/>
        <w:rPr>
          <w:rFonts w:ascii="宋体" w:hAnsi="宋体" w:cs="宋体"/>
          <w:color w:val="auto"/>
          <w:kern w:val="0"/>
          <w:sz w:val="24"/>
          <w:highlight w:val="none"/>
        </w:rPr>
      </w:pPr>
      <w:r>
        <w:rPr>
          <w:rFonts w:hint="eastAsia" w:ascii="宋体" w:hAnsi="宋体" w:cs="宋体"/>
          <w:color w:val="auto"/>
          <w:kern w:val="0"/>
          <w:sz w:val="24"/>
          <w:highlight w:val="none"/>
          <w:shd w:val="clear" w:color="auto" w:fill="FFFFFF"/>
        </w:rPr>
        <w:t>5.3是否接受联合体形式的响应磋商：不接受</w:t>
      </w:r>
    </w:p>
    <w:p>
      <w:pPr>
        <w:pStyle w:val="12"/>
        <w:widowControl/>
        <w:spacing w:before="75" w:beforeAutospacing="0" w:after="75" w:afterAutospacing="0" w:line="435" w:lineRule="atLeast"/>
        <w:ind w:firstLine="482"/>
        <w:rPr>
          <w:rFonts w:ascii="宋体" w:hAnsi="宋体" w:cs="宋体"/>
          <w:color w:val="auto"/>
          <w:highlight w:val="none"/>
        </w:rPr>
      </w:pPr>
      <w:r>
        <w:rPr>
          <w:rStyle w:val="18"/>
          <w:rFonts w:hint="eastAsia" w:ascii="宋体" w:hAnsi="宋体" w:cs="宋体"/>
          <w:color w:val="auto"/>
          <w:highlight w:val="none"/>
        </w:rPr>
        <w:t>※根据上述资格要求，供应商响应文件中应提交的“资格证明文件”相关规定和资料要求，详见竞争性磋商须知前附表和磋商文件第五章。</w:t>
      </w:r>
    </w:p>
    <w:p>
      <w:pPr>
        <w:widowControl/>
        <w:spacing w:line="500" w:lineRule="exact"/>
        <w:ind w:firstLine="480" w:firstLineChars="200"/>
        <w:jc w:val="left"/>
        <w:rPr>
          <w:rFonts w:ascii="宋体" w:hAnsi="宋体" w:cs="宋体"/>
          <w:color w:val="auto"/>
          <w:kern w:val="0"/>
          <w:sz w:val="24"/>
          <w:highlight w:val="none"/>
        </w:rPr>
      </w:pPr>
      <w:r>
        <w:rPr>
          <w:rFonts w:hint="eastAsia" w:ascii="宋体" w:hAnsi="宋体" w:cs="宋体"/>
          <w:color w:val="auto"/>
          <w:sz w:val="24"/>
          <w:highlight w:val="none"/>
        </w:rPr>
        <w:t xml:space="preserve"> </w:t>
      </w:r>
      <w:r>
        <w:rPr>
          <w:rFonts w:hint="eastAsia" w:ascii="宋体" w:hAnsi="宋体" w:cs="宋体"/>
          <w:color w:val="auto"/>
          <w:kern w:val="0"/>
          <w:sz w:val="24"/>
          <w:highlight w:val="none"/>
        </w:rPr>
        <w:t>6.供应商报名期限</w:t>
      </w:r>
      <w:r>
        <w:rPr>
          <w:rFonts w:hint="eastAsia" w:ascii="宋体" w:hAnsi="宋体" w:cs="宋体"/>
          <w:color w:val="auto"/>
          <w:sz w:val="24"/>
          <w:highlight w:val="none"/>
        </w:rPr>
        <w:t>：详见磋商公告或更正公告（若有），若不一致，以更正公告（若有）为准</w:t>
      </w:r>
      <w:r>
        <w:rPr>
          <w:rFonts w:hint="eastAsia" w:ascii="宋体" w:hAnsi="宋体" w:cs="宋体"/>
          <w:color w:val="auto"/>
          <w:sz w:val="24"/>
          <w:highlight w:val="none"/>
          <w:shd w:val="clear" w:color="auto" w:fill="FFFFFF"/>
        </w:rPr>
        <w:t>。</w:t>
      </w:r>
      <w:r>
        <w:rPr>
          <w:rFonts w:hint="eastAsia" w:ascii="宋体" w:hAnsi="宋体" w:cs="宋体"/>
          <w:color w:val="auto"/>
          <w:sz w:val="24"/>
          <w:highlight w:val="none"/>
        </w:rPr>
        <w:t>未按要求报名将导致响应文件被拒收。</w:t>
      </w:r>
    </w:p>
    <w:p>
      <w:pPr>
        <w:widowControl/>
        <w:spacing w:line="500" w:lineRule="exact"/>
        <w:ind w:firstLine="480" w:firstLineChars="200"/>
        <w:jc w:val="left"/>
        <w:rPr>
          <w:rFonts w:ascii="宋体" w:hAnsi="宋体" w:cs="宋体"/>
          <w:color w:val="auto"/>
          <w:kern w:val="0"/>
          <w:sz w:val="24"/>
          <w:highlight w:val="none"/>
          <w:shd w:val="clear" w:color="auto" w:fill="FFFFFF"/>
        </w:rPr>
      </w:pPr>
      <w:r>
        <w:rPr>
          <w:rFonts w:hint="eastAsia" w:ascii="宋体" w:hAnsi="宋体" w:cs="宋体"/>
          <w:color w:val="auto"/>
          <w:kern w:val="0"/>
          <w:sz w:val="24"/>
          <w:highlight w:val="none"/>
          <w:shd w:val="clear" w:color="auto" w:fill="FFFFFF"/>
        </w:rPr>
        <w:t>6.1如果采购过程中有发出更正公告，采购人将根据实际情况确定是否延长报名期限，则报名截止时间以更正公告中的约定为准。</w:t>
      </w:r>
    </w:p>
    <w:p>
      <w:pPr>
        <w:widowControl/>
        <w:spacing w:line="50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7.竞争性磋商文件的获取（报名）：可至指定地点（宁德市东侨经济技术开发区闽东东路15号金禾商务中心12楼有信公司业务部）现场办理书面报名登记；或采用邮件方式办理报名事宜（采用邮件方式办理的供应商报名事宜，务必电话联系）。</w:t>
      </w:r>
    </w:p>
    <w:p>
      <w:pPr>
        <w:widowControl/>
        <w:spacing w:line="50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shd w:val="clear" w:color="auto" w:fill="FFFFFF"/>
        </w:rPr>
        <w:t>7.1采购文件的提供（报名）期限</w:t>
      </w:r>
      <w:r>
        <w:rPr>
          <w:rFonts w:hint="eastAsia" w:ascii="宋体" w:hAnsi="宋体" w:cs="宋体"/>
          <w:color w:val="auto"/>
          <w:sz w:val="24"/>
          <w:highlight w:val="none"/>
          <w:shd w:val="clear" w:color="auto" w:fill="FFFFFF"/>
        </w:rPr>
        <w:t>：</w:t>
      </w:r>
      <w:r>
        <w:rPr>
          <w:rFonts w:hint="eastAsia" w:ascii="宋体" w:hAnsi="宋体" w:cs="宋体"/>
          <w:color w:val="auto"/>
          <w:sz w:val="24"/>
          <w:highlight w:val="none"/>
        </w:rPr>
        <w:t>详见磋商公告或更正公告（若有），若不一致，以更正公告（若有）为准。</w:t>
      </w:r>
    </w:p>
    <w:p>
      <w:pPr>
        <w:widowControl/>
        <w:spacing w:line="500" w:lineRule="exact"/>
        <w:ind w:firstLine="480" w:firstLineChars="200"/>
        <w:jc w:val="left"/>
        <w:rPr>
          <w:rFonts w:ascii="宋体" w:hAnsi="宋体" w:cs="宋体"/>
          <w:color w:val="auto"/>
          <w:sz w:val="24"/>
          <w:highlight w:val="none"/>
        </w:rPr>
      </w:pPr>
      <w:r>
        <w:rPr>
          <w:rFonts w:hint="eastAsia" w:ascii="宋体" w:hAnsi="宋体" w:cs="宋体"/>
          <w:color w:val="auto"/>
          <w:sz w:val="24"/>
          <w:highlight w:val="none"/>
        </w:rPr>
        <w:t>7.2获取地点及方式：宁德市东侨经济技术开发区闽东东路15号金禾商务中心12楼有信公司业务部。各潜在供应商到我司报名（获取磋商文件）时须填写《采购文件领取登记表》，所填写的信息须真实、准确、完整，且不具有任何误导性。递交响应文件时供应商的名称要与获取磋商文件时的名称相一致，除能提供相关部门出具的有效单位名称（姓名）变更证明外，否则我司将拒绝接收响应文件。</w:t>
      </w:r>
    </w:p>
    <w:p>
      <w:pPr>
        <w:widowControl/>
        <w:spacing w:line="50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shd w:val="clear" w:color="auto" w:fill="FFFFFF"/>
        </w:rPr>
        <w:t>7.3</w:t>
      </w:r>
      <w:r>
        <w:rPr>
          <w:rFonts w:hint="eastAsia" w:ascii="宋体" w:hAnsi="宋体" w:cs="宋体"/>
          <w:color w:val="auto"/>
          <w:kern w:val="0"/>
          <w:sz w:val="24"/>
          <w:highlight w:val="none"/>
        </w:rPr>
        <w:t>采购文件售价：</w:t>
      </w:r>
      <w:r>
        <w:rPr>
          <w:rFonts w:hint="eastAsia" w:ascii="宋体" w:hAnsi="宋体" w:cs="宋体"/>
          <w:color w:val="auto"/>
          <w:kern w:val="0"/>
          <w:sz w:val="24"/>
          <w:highlight w:val="none"/>
          <w:shd w:val="clear" w:color="auto" w:fill="FFFFFF"/>
        </w:rPr>
        <w:t>0元。</w:t>
      </w:r>
    </w:p>
    <w:p>
      <w:pPr>
        <w:widowControl/>
        <w:numPr>
          <w:ilvl w:val="0"/>
          <w:numId w:val="2"/>
        </w:numPr>
        <w:spacing w:line="500" w:lineRule="exact"/>
        <w:ind w:firstLine="480" w:firstLineChars="200"/>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首次响应文件递交截止时间及磋商时间：</w:t>
      </w:r>
      <w:r>
        <w:rPr>
          <w:rFonts w:hint="eastAsia" w:ascii="宋体" w:hAnsi="宋体" w:cs="宋体"/>
          <w:color w:val="auto"/>
          <w:sz w:val="24"/>
          <w:highlight w:val="none"/>
        </w:rPr>
        <w:t>详见竞争性磋商公告或更正公告（若有），若不一致，以更正公告（若有）为准。</w:t>
      </w:r>
    </w:p>
    <w:p>
      <w:pPr>
        <w:widowControl/>
        <w:numPr>
          <w:ilvl w:val="0"/>
          <w:numId w:val="2"/>
        </w:numPr>
        <w:spacing w:line="50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shd w:val="clear" w:color="auto" w:fill="FFFFFF"/>
        </w:rPr>
        <w:t>首次响应文件递交地点及磋商地点：</w:t>
      </w:r>
      <w:r>
        <w:rPr>
          <w:rFonts w:hint="eastAsia" w:ascii="宋体" w:hAnsi="宋体" w:cs="宋体"/>
          <w:color w:val="auto"/>
          <w:kern w:val="0"/>
          <w:sz w:val="24"/>
          <w:highlight w:val="none"/>
        </w:rPr>
        <w:t>供应商应在</w:t>
      </w:r>
      <w:r>
        <w:rPr>
          <w:rFonts w:hint="eastAsia" w:ascii="宋体" w:hAnsi="宋体" w:cs="宋体"/>
          <w:color w:val="auto"/>
          <w:kern w:val="0"/>
          <w:sz w:val="24"/>
          <w:highlight w:val="none"/>
          <w:shd w:val="clear" w:color="auto" w:fill="FFFFFF"/>
        </w:rPr>
        <w:t>首次响应文件递交截止时间</w:t>
      </w:r>
      <w:r>
        <w:rPr>
          <w:rFonts w:hint="eastAsia" w:ascii="宋体" w:hAnsi="宋体" w:cs="宋体"/>
          <w:color w:val="auto"/>
          <w:kern w:val="0"/>
          <w:sz w:val="24"/>
          <w:highlight w:val="none"/>
        </w:rPr>
        <w:t>之前将密封的响应文件送达指定地点（宁德市东侨经济技术开发区闽东东路15号金禾商务中心12楼有信公司开标室），逾期送达的或不符合规定的响应文件将被拒绝接收。</w:t>
      </w:r>
    </w:p>
    <w:p>
      <w:pPr>
        <w:spacing w:line="500" w:lineRule="exact"/>
        <w:ind w:firstLine="484" w:firstLineChars="202"/>
        <w:rPr>
          <w:rFonts w:ascii="宋体" w:hAnsi="宋体" w:cs="宋体"/>
          <w:color w:val="auto"/>
          <w:kern w:val="0"/>
          <w:sz w:val="24"/>
          <w:highlight w:val="none"/>
        </w:rPr>
      </w:pPr>
      <w:r>
        <w:rPr>
          <w:rFonts w:hint="eastAsia" w:ascii="宋体" w:hAnsi="宋体" w:cs="宋体"/>
          <w:color w:val="auto"/>
          <w:kern w:val="0"/>
          <w:sz w:val="24"/>
          <w:highlight w:val="none"/>
        </w:rPr>
        <w:t>10. 竞争性磋商公告期限：</w:t>
      </w:r>
      <w:r>
        <w:rPr>
          <w:rFonts w:hint="eastAsia" w:ascii="宋体" w:hAnsi="宋体" w:cs="宋体"/>
          <w:color w:val="auto"/>
          <w:sz w:val="24"/>
          <w:highlight w:val="none"/>
        </w:rPr>
        <w:t>自发布公告之日起3个工作日。</w:t>
      </w:r>
    </w:p>
    <w:p>
      <w:pPr>
        <w:widowControl/>
        <w:spacing w:line="50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11. 采购人：宁德市汇融征信服务有限公司</w:t>
      </w:r>
    </w:p>
    <w:p>
      <w:pPr>
        <w:widowControl/>
        <w:spacing w:line="500" w:lineRule="exact"/>
        <w:ind w:firstLine="960" w:firstLineChars="400"/>
        <w:jc w:val="left"/>
        <w:rPr>
          <w:rFonts w:ascii="宋体" w:hAnsi="宋体" w:cs="宋体"/>
          <w:color w:val="auto"/>
          <w:kern w:val="0"/>
          <w:sz w:val="24"/>
          <w:highlight w:val="none"/>
        </w:rPr>
      </w:pPr>
      <w:r>
        <w:rPr>
          <w:rFonts w:hint="eastAsia" w:ascii="宋体" w:hAnsi="宋体" w:cs="宋体"/>
          <w:color w:val="auto"/>
          <w:kern w:val="0"/>
          <w:sz w:val="24"/>
          <w:highlight w:val="none"/>
        </w:rPr>
        <w:t>地址：宁德市东侨经济技术开发区正大路4号11层</w:t>
      </w:r>
    </w:p>
    <w:p>
      <w:pPr>
        <w:widowControl/>
        <w:spacing w:line="500" w:lineRule="exact"/>
        <w:ind w:firstLine="960" w:firstLineChars="400"/>
        <w:jc w:val="left"/>
        <w:rPr>
          <w:rFonts w:ascii="宋体" w:hAnsi="宋体" w:cs="宋体"/>
          <w:color w:val="auto"/>
          <w:kern w:val="0"/>
          <w:sz w:val="24"/>
          <w:highlight w:val="none"/>
        </w:rPr>
      </w:pPr>
      <w:r>
        <w:rPr>
          <w:rFonts w:hint="eastAsia" w:ascii="宋体" w:hAnsi="宋体" w:cs="宋体"/>
          <w:color w:val="auto"/>
          <w:kern w:val="0"/>
          <w:sz w:val="24"/>
          <w:highlight w:val="none"/>
        </w:rPr>
        <w:t>联系人：陈先生</w:t>
      </w:r>
    </w:p>
    <w:p>
      <w:pPr>
        <w:widowControl/>
        <w:spacing w:line="500" w:lineRule="exact"/>
        <w:ind w:firstLine="960" w:firstLineChars="400"/>
        <w:jc w:val="left"/>
        <w:rPr>
          <w:rFonts w:ascii="宋体" w:hAnsi="宋体" w:cs="宋体"/>
          <w:color w:val="auto"/>
          <w:kern w:val="0"/>
          <w:sz w:val="24"/>
          <w:highlight w:val="none"/>
        </w:rPr>
      </w:pPr>
      <w:r>
        <w:rPr>
          <w:rFonts w:hint="eastAsia" w:ascii="宋体" w:hAnsi="宋体" w:cs="宋体"/>
          <w:color w:val="auto"/>
          <w:kern w:val="0"/>
          <w:sz w:val="24"/>
          <w:highlight w:val="none"/>
        </w:rPr>
        <w:t>联系方法：0593-2311136</w:t>
      </w:r>
    </w:p>
    <w:p>
      <w:pPr>
        <w:widowControl/>
        <w:spacing w:line="500" w:lineRule="exact"/>
        <w:ind w:firstLine="960" w:firstLineChars="400"/>
        <w:jc w:val="left"/>
        <w:rPr>
          <w:rFonts w:ascii="宋体" w:hAnsi="宋体" w:cs="宋体"/>
          <w:color w:val="auto"/>
          <w:kern w:val="0"/>
          <w:sz w:val="24"/>
          <w:highlight w:val="none"/>
        </w:rPr>
      </w:pPr>
      <w:r>
        <w:rPr>
          <w:rFonts w:hint="eastAsia" w:ascii="宋体" w:hAnsi="宋体" w:cs="宋体"/>
          <w:color w:val="auto"/>
          <w:kern w:val="0"/>
          <w:sz w:val="24"/>
          <w:highlight w:val="none"/>
        </w:rPr>
        <w:t>代理机构：宁德市有信产权交易服务有限公司</w:t>
      </w:r>
    </w:p>
    <w:p>
      <w:pPr>
        <w:widowControl/>
        <w:spacing w:line="500" w:lineRule="exact"/>
        <w:ind w:firstLine="960" w:firstLineChars="400"/>
        <w:jc w:val="left"/>
        <w:rPr>
          <w:rFonts w:ascii="宋体" w:hAnsi="宋体" w:cs="宋体"/>
          <w:color w:val="auto"/>
          <w:kern w:val="0"/>
          <w:sz w:val="24"/>
          <w:highlight w:val="none"/>
        </w:rPr>
      </w:pPr>
      <w:r>
        <w:rPr>
          <w:rFonts w:hint="eastAsia" w:ascii="宋体" w:hAnsi="宋体" w:cs="宋体"/>
          <w:color w:val="auto"/>
          <w:kern w:val="0"/>
          <w:sz w:val="24"/>
          <w:highlight w:val="none"/>
        </w:rPr>
        <w:t>地址：宁德市东侨经济技术开发区闽东东路15号金禾商务中心12楼</w:t>
      </w:r>
    </w:p>
    <w:p>
      <w:pPr>
        <w:widowControl/>
        <w:spacing w:line="500" w:lineRule="exact"/>
        <w:ind w:firstLine="960" w:firstLineChars="400"/>
        <w:jc w:val="left"/>
        <w:rPr>
          <w:rFonts w:ascii="宋体" w:hAnsi="宋体" w:cs="宋体"/>
          <w:color w:val="auto"/>
          <w:kern w:val="0"/>
          <w:sz w:val="24"/>
          <w:highlight w:val="none"/>
        </w:rPr>
      </w:pPr>
      <w:r>
        <w:rPr>
          <w:rFonts w:hint="eastAsia" w:ascii="宋体" w:hAnsi="宋体" w:cs="宋体"/>
          <w:color w:val="auto"/>
          <w:kern w:val="0"/>
          <w:sz w:val="24"/>
          <w:highlight w:val="none"/>
        </w:rPr>
        <w:t>联系人：彭女士</w:t>
      </w:r>
    </w:p>
    <w:p>
      <w:pPr>
        <w:widowControl/>
        <w:spacing w:line="500" w:lineRule="exact"/>
        <w:ind w:firstLine="960" w:firstLineChars="400"/>
        <w:jc w:val="left"/>
        <w:rPr>
          <w:rFonts w:ascii="宋体" w:hAnsi="宋体" w:cs="宋体"/>
          <w:color w:val="auto"/>
          <w:kern w:val="0"/>
          <w:sz w:val="24"/>
          <w:highlight w:val="none"/>
        </w:rPr>
      </w:pPr>
      <w:r>
        <w:rPr>
          <w:rFonts w:hint="eastAsia" w:ascii="宋体" w:hAnsi="宋体" w:cs="宋体"/>
          <w:color w:val="auto"/>
          <w:kern w:val="0"/>
          <w:sz w:val="24"/>
          <w:highlight w:val="none"/>
        </w:rPr>
        <w:t>联系方法：0593-2292676</w:t>
      </w:r>
    </w:p>
    <w:p>
      <w:pPr>
        <w:widowControl/>
        <w:spacing w:line="500" w:lineRule="exact"/>
        <w:ind w:firstLine="480"/>
        <w:jc w:val="left"/>
        <w:rPr>
          <w:rFonts w:ascii="宋体" w:hAnsi="宋体" w:cs="宋体"/>
          <w:color w:val="auto"/>
          <w:kern w:val="0"/>
          <w:sz w:val="24"/>
          <w:highlight w:val="none"/>
        </w:rPr>
      </w:pPr>
      <w:r>
        <w:rPr>
          <w:rFonts w:hint="eastAsia" w:ascii="宋体" w:hAnsi="宋体" w:cs="宋体"/>
          <w:color w:val="auto"/>
          <w:sz w:val="24"/>
          <w:highlight w:val="none"/>
        </w:rPr>
        <w:t>附1：银行账户信息</w:t>
      </w:r>
    </w:p>
    <w:tbl>
      <w:tblPr>
        <w:tblStyle w:val="1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96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07" w:hRule="atLeast"/>
          <w:jc w:val="center"/>
        </w:trPr>
        <w:tc>
          <w:tcPr>
            <w:tcW w:w="9660" w:type="dxa"/>
            <w:tcMar>
              <w:top w:w="0" w:type="dxa"/>
              <w:left w:w="105" w:type="dxa"/>
              <w:bottom w:w="0" w:type="dxa"/>
              <w:right w:w="105" w:type="dxa"/>
            </w:tcMar>
            <w:vAlign w:val="center"/>
          </w:tcPr>
          <w:p>
            <w:pPr>
              <w:keepNext w:val="0"/>
              <w:keepLines w:val="0"/>
              <w:suppressLineNumbers w:val="0"/>
              <w:spacing w:before="0" w:beforeAutospacing="0" w:after="0" w:afterAutospacing="0" w:line="500" w:lineRule="exact"/>
              <w:ind w:left="0" w:right="0" w:firstLine="487" w:firstLineChars="202"/>
              <w:rPr>
                <w:rFonts w:hint="default" w:ascii="宋体" w:hAnsi="宋体" w:cs="宋体"/>
                <w:color w:val="auto"/>
                <w:sz w:val="24"/>
                <w:highlight w:val="none"/>
              </w:rPr>
            </w:pPr>
            <w:r>
              <w:rPr>
                <w:rFonts w:hint="eastAsia" w:ascii="宋体" w:hAnsi="宋体" w:cs="宋体"/>
                <w:b/>
                <w:bCs/>
                <w:color w:val="auto"/>
                <w:sz w:val="24"/>
                <w:highlight w:val="none"/>
              </w:rPr>
              <w:t>磋商保证金账户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1372" w:hRule="atLeast"/>
          <w:jc w:val="center"/>
        </w:trPr>
        <w:tc>
          <w:tcPr>
            <w:tcW w:w="9660" w:type="dxa"/>
            <w:tcMar>
              <w:top w:w="0" w:type="dxa"/>
              <w:left w:w="105" w:type="dxa"/>
              <w:bottom w:w="0" w:type="dxa"/>
              <w:right w:w="105" w:type="dxa"/>
            </w:tcMar>
          </w:tcPr>
          <w:p>
            <w:pPr>
              <w:keepNext w:val="0"/>
              <w:keepLines w:val="0"/>
              <w:suppressLineNumbers w:val="0"/>
              <w:spacing w:before="0" w:beforeAutospacing="0" w:after="0" w:afterAutospacing="0" w:line="500" w:lineRule="exact"/>
              <w:ind w:left="0" w:right="0" w:firstLine="424" w:firstLineChars="202"/>
              <w:rPr>
                <w:rFonts w:hint="default" w:ascii="宋体" w:hAnsi="宋体" w:cs="宋体"/>
                <w:color w:val="auto"/>
                <w:szCs w:val="21"/>
                <w:highlight w:val="none"/>
              </w:rPr>
            </w:pPr>
            <w:r>
              <w:rPr>
                <w:rFonts w:hint="eastAsia" w:ascii="宋体" w:hAnsi="宋体" w:cs="宋体"/>
                <w:color w:val="auto"/>
                <w:szCs w:val="21"/>
                <w:highlight w:val="none"/>
              </w:rPr>
              <w:t>开户名称：宁德市有信产权交易服务有限公司</w:t>
            </w:r>
          </w:p>
          <w:p>
            <w:pPr>
              <w:keepNext w:val="0"/>
              <w:keepLines w:val="0"/>
              <w:suppressLineNumbers w:val="0"/>
              <w:spacing w:before="0" w:beforeAutospacing="0" w:after="0" w:afterAutospacing="0" w:line="500" w:lineRule="exact"/>
              <w:ind w:left="0" w:right="0" w:firstLine="424" w:firstLineChars="202"/>
              <w:rPr>
                <w:rFonts w:hint="default" w:ascii="宋体" w:hAnsi="宋体" w:cs="宋体"/>
                <w:color w:val="auto"/>
                <w:szCs w:val="21"/>
                <w:highlight w:val="none"/>
              </w:rPr>
            </w:pPr>
            <w:r>
              <w:rPr>
                <w:rFonts w:hint="eastAsia" w:ascii="宋体" w:hAnsi="宋体" w:cs="宋体"/>
                <w:color w:val="auto"/>
                <w:szCs w:val="21"/>
                <w:highlight w:val="none"/>
              </w:rPr>
              <w:t>开户银行：泉州银行股份有限公司宁德分行</w:t>
            </w:r>
          </w:p>
          <w:p>
            <w:pPr>
              <w:keepNext w:val="0"/>
              <w:keepLines w:val="0"/>
              <w:suppressLineNumbers w:val="0"/>
              <w:spacing w:before="0" w:beforeAutospacing="0" w:after="0" w:afterAutospacing="0" w:line="500" w:lineRule="exact"/>
              <w:ind w:left="0" w:right="0" w:firstLine="424" w:firstLineChars="202"/>
              <w:rPr>
                <w:rFonts w:hint="default" w:ascii="宋体" w:hAnsi="宋体" w:cs="宋体"/>
                <w:color w:val="auto"/>
                <w:sz w:val="24"/>
                <w:highlight w:val="none"/>
              </w:rPr>
            </w:pPr>
            <w:r>
              <w:rPr>
                <w:rFonts w:hint="eastAsia" w:ascii="宋体" w:hAnsi="宋体" w:cs="宋体"/>
                <w:color w:val="auto"/>
                <w:szCs w:val="21"/>
                <w:highlight w:val="none"/>
              </w:rPr>
              <w:t>开户账号：0000024507886012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07" w:hRule="atLeast"/>
          <w:jc w:val="center"/>
        </w:trPr>
        <w:tc>
          <w:tcPr>
            <w:tcW w:w="9660" w:type="dxa"/>
            <w:tcMar>
              <w:top w:w="0" w:type="dxa"/>
              <w:left w:w="105" w:type="dxa"/>
              <w:bottom w:w="0" w:type="dxa"/>
              <w:right w:w="105" w:type="dxa"/>
            </w:tcMar>
          </w:tcPr>
          <w:p>
            <w:pPr>
              <w:keepNext w:val="0"/>
              <w:keepLines w:val="0"/>
              <w:suppressLineNumbers w:val="0"/>
              <w:spacing w:before="0" w:beforeAutospacing="0" w:after="0" w:afterAutospacing="0" w:line="500" w:lineRule="exact"/>
              <w:ind w:left="0" w:right="0" w:firstLine="487" w:firstLineChars="202"/>
              <w:rPr>
                <w:rFonts w:hint="default" w:ascii="宋体" w:hAnsi="宋体" w:cs="宋体"/>
                <w:b/>
                <w:color w:val="auto"/>
                <w:sz w:val="24"/>
                <w:highlight w:val="none"/>
              </w:rPr>
            </w:pPr>
            <w:r>
              <w:rPr>
                <w:rFonts w:hint="eastAsia" w:ascii="宋体" w:hAnsi="宋体" w:cs="宋体"/>
                <w:b/>
                <w:color w:val="auto"/>
                <w:sz w:val="24"/>
                <w:highlight w:val="none"/>
              </w:rPr>
              <w:t>服务费专户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1499" w:hRule="atLeast"/>
          <w:jc w:val="center"/>
        </w:trPr>
        <w:tc>
          <w:tcPr>
            <w:tcW w:w="9660" w:type="dxa"/>
            <w:tcMar>
              <w:top w:w="0" w:type="dxa"/>
              <w:left w:w="105" w:type="dxa"/>
              <w:bottom w:w="0" w:type="dxa"/>
              <w:right w:w="105" w:type="dxa"/>
            </w:tcMar>
          </w:tcPr>
          <w:p>
            <w:pPr>
              <w:keepNext w:val="0"/>
              <w:keepLines w:val="0"/>
              <w:suppressLineNumbers w:val="0"/>
              <w:spacing w:before="0" w:beforeAutospacing="0" w:after="0" w:afterAutospacing="0" w:line="500" w:lineRule="exact"/>
              <w:ind w:left="0" w:right="0" w:firstLine="424" w:firstLineChars="202"/>
              <w:rPr>
                <w:rFonts w:hint="default" w:ascii="宋体" w:hAnsi="宋体" w:cs="宋体"/>
                <w:color w:val="auto"/>
                <w:szCs w:val="21"/>
                <w:highlight w:val="none"/>
              </w:rPr>
            </w:pPr>
            <w:r>
              <w:rPr>
                <w:rFonts w:hint="eastAsia" w:ascii="宋体" w:hAnsi="宋体" w:cs="宋体"/>
                <w:color w:val="auto"/>
                <w:szCs w:val="21"/>
                <w:highlight w:val="none"/>
              </w:rPr>
              <w:t>开户名称：宁德市有信产权交易服务有限公司</w:t>
            </w:r>
          </w:p>
          <w:p>
            <w:pPr>
              <w:keepNext w:val="0"/>
              <w:keepLines w:val="0"/>
              <w:suppressLineNumbers w:val="0"/>
              <w:spacing w:before="0" w:beforeAutospacing="0" w:after="0" w:afterAutospacing="0" w:line="500" w:lineRule="exact"/>
              <w:ind w:left="0" w:right="0" w:firstLine="424" w:firstLineChars="202"/>
              <w:rPr>
                <w:rFonts w:hint="default" w:ascii="宋体" w:hAnsi="宋体" w:cs="宋体"/>
                <w:color w:val="auto"/>
                <w:szCs w:val="21"/>
                <w:highlight w:val="none"/>
              </w:rPr>
            </w:pPr>
            <w:r>
              <w:rPr>
                <w:rFonts w:hint="eastAsia" w:ascii="宋体" w:hAnsi="宋体" w:cs="宋体"/>
                <w:color w:val="auto"/>
                <w:szCs w:val="21"/>
                <w:highlight w:val="none"/>
              </w:rPr>
              <w:t>开户银行：邮储银行宁德市东侨开发区支行</w:t>
            </w:r>
          </w:p>
          <w:p>
            <w:pPr>
              <w:keepNext w:val="0"/>
              <w:keepLines w:val="0"/>
              <w:suppressLineNumbers w:val="0"/>
              <w:spacing w:before="0" w:beforeAutospacing="0" w:after="0" w:afterAutospacing="0" w:line="500" w:lineRule="exact"/>
              <w:ind w:left="0" w:right="0" w:firstLine="424" w:firstLineChars="202"/>
              <w:rPr>
                <w:rFonts w:hint="default" w:ascii="宋体" w:hAnsi="宋体" w:cs="宋体"/>
                <w:color w:val="auto"/>
                <w:sz w:val="24"/>
                <w:highlight w:val="none"/>
              </w:rPr>
            </w:pPr>
            <w:r>
              <w:rPr>
                <w:rFonts w:hint="eastAsia" w:ascii="宋体" w:hAnsi="宋体" w:cs="宋体"/>
                <w:color w:val="auto"/>
                <w:szCs w:val="21"/>
                <w:highlight w:val="none"/>
              </w:rPr>
              <w:t>开户账号：935001010003468889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07" w:hRule="atLeast"/>
          <w:jc w:val="center"/>
        </w:trPr>
        <w:tc>
          <w:tcPr>
            <w:tcW w:w="9660" w:type="dxa"/>
            <w:tcMar>
              <w:top w:w="0" w:type="dxa"/>
              <w:left w:w="105" w:type="dxa"/>
              <w:bottom w:w="0" w:type="dxa"/>
              <w:right w:w="105" w:type="dxa"/>
            </w:tcMar>
            <w:vAlign w:val="center"/>
          </w:tcPr>
          <w:p>
            <w:pPr>
              <w:keepNext w:val="0"/>
              <w:keepLines w:val="0"/>
              <w:suppressLineNumbers w:val="0"/>
              <w:spacing w:before="0" w:beforeAutospacing="0" w:after="0" w:afterAutospacing="0" w:line="500" w:lineRule="exact"/>
              <w:ind w:left="0" w:right="0" w:firstLine="487" w:firstLineChars="202"/>
              <w:rPr>
                <w:rFonts w:hint="default" w:ascii="宋体" w:hAnsi="宋体" w:cs="宋体"/>
                <w:color w:val="auto"/>
                <w:sz w:val="24"/>
                <w:highlight w:val="none"/>
              </w:rPr>
            </w:pPr>
            <w:r>
              <w:rPr>
                <w:rFonts w:hint="eastAsia" w:ascii="宋体" w:hAnsi="宋体" w:cs="宋体"/>
                <w:b/>
                <w:bCs/>
                <w:color w:val="auto"/>
                <w:sz w:val="24"/>
                <w:highlight w:val="none"/>
              </w:rPr>
              <w:t>特别提示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005" w:hRule="atLeast"/>
          <w:jc w:val="center"/>
        </w:trPr>
        <w:tc>
          <w:tcPr>
            <w:tcW w:w="9660" w:type="dxa"/>
            <w:tcMar>
              <w:top w:w="0" w:type="dxa"/>
              <w:left w:w="105" w:type="dxa"/>
              <w:bottom w:w="0" w:type="dxa"/>
              <w:right w:w="105" w:type="dxa"/>
            </w:tcMar>
          </w:tcPr>
          <w:p>
            <w:pPr>
              <w:keepNext w:val="0"/>
              <w:keepLines w:val="0"/>
              <w:suppressLineNumbers w:val="0"/>
              <w:spacing w:before="0" w:beforeAutospacing="0" w:after="0" w:afterAutospacing="0" w:line="500" w:lineRule="exact"/>
              <w:ind w:left="0" w:right="0" w:firstLine="424" w:firstLineChars="202"/>
              <w:rPr>
                <w:rFonts w:hint="default" w:ascii="宋体" w:hAnsi="宋体" w:cs="宋体"/>
                <w:color w:val="auto"/>
                <w:szCs w:val="21"/>
                <w:highlight w:val="none"/>
              </w:rPr>
            </w:pPr>
            <w:r>
              <w:rPr>
                <w:rFonts w:hint="eastAsia" w:ascii="宋体" w:hAnsi="宋体" w:cs="宋体"/>
                <w:color w:val="auto"/>
                <w:szCs w:val="21"/>
                <w:highlight w:val="none"/>
              </w:rPr>
              <w:t>1、请供应商务必认真核对账户信息，将磋商保证金款项汇入对应账户，并自行承担因款项汇错而产生的一切后果。</w:t>
            </w:r>
          </w:p>
          <w:p>
            <w:pPr>
              <w:keepNext w:val="0"/>
              <w:keepLines w:val="0"/>
              <w:suppressLineNumbers w:val="0"/>
              <w:spacing w:before="0" w:beforeAutospacing="0" w:after="0" w:afterAutospacing="0" w:line="500" w:lineRule="exact"/>
              <w:ind w:left="0" w:right="0" w:firstLine="424" w:firstLineChars="202"/>
              <w:rPr>
                <w:rFonts w:hint="default" w:ascii="宋体" w:hAnsi="宋体" w:cs="宋体"/>
                <w:color w:val="auto"/>
                <w:sz w:val="24"/>
                <w:highlight w:val="none"/>
              </w:rPr>
            </w:pPr>
            <w:r>
              <w:rPr>
                <w:rFonts w:hint="eastAsia" w:ascii="宋体" w:hAnsi="宋体" w:cs="宋体"/>
                <w:color w:val="auto"/>
                <w:szCs w:val="21"/>
                <w:highlight w:val="none"/>
              </w:rPr>
              <w:t>2、请供应商在转账或电汇的凭证上务必按照以下格式注明，以便核对：“（项目编号：***、采购包：***）的磋商保证金”或类似字眼。</w:t>
            </w:r>
          </w:p>
        </w:tc>
      </w:tr>
    </w:tbl>
    <w:p>
      <w:pPr>
        <w:pStyle w:val="12"/>
        <w:widowControl/>
        <w:spacing w:before="75" w:beforeAutospacing="0" w:after="75" w:afterAutospacing="0" w:line="435" w:lineRule="atLeast"/>
        <w:rPr>
          <w:rFonts w:ascii="宋体" w:hAnsi="宋体" w:cs="宋体"/>
          <w:color w:val="auto"/>
          <w:sz w:val="27"/>
          <w:szCs w:val="27"/>
          <w:highlight w:val="none"/>
        </w:rPr>
      </w:pPr>
      <w:r>
        <w:rPr>
          <w:rFonts w:hint="eastAsia" w:ascii="宋体" w:hAnsi="宋体" w:cs="宋体"/>
          <w:color w:val="auto"/>
          <w:highlight w:val="none"/>
        </w:rPr>
        <w:t> </w:t>
      </w:r>
    </w:p>
    <w:p>
      <w:pPr>
        <w:pStyle w:val="13"/>
        <w:jc w:val="both"/>
        <w:outlineLvl w:val="9"/>
        <w:rPr>
          <w:rFonts w:ascii="宋体" w:hAnsi="宋体" w:cs="宋体"/>
          <w:color w:val="auto"/>
          <w:kern w:val="0"/>
          <w:sz w:val="24"/>
          <w:highlight w:val="none"/>
          <w:lang w:bidi="ar"/>
        </w:rPr>
      </w:pPr>
      <w:r>
        <w:rPr>
          <w:rFonts w:hint="eastAsia" w:ascii="宋体" w:hAnsi="宋体" w:cs="宋体"/>
          <w:color w:val="auto"/>
          <w:kern w:val="0"/>
          <w:sz w:val="24"/>
          <w:highlight w:val="none"/>
          <w:lang w:bidi="ar"/>
        </w:rPr>
        <w:t> </w:t>
      </w:r>
      <w:bookmarkStart w:id="2" w:name="_Toc20756"/>
    </w:p>
    <w:p>
      <w:pPr>
        <w:pStyle w:val="13"/>
        <w:jc w:val="both"/>
        <w:outlineLvl w:val="9"/>
        <w:rPr>
          <w:rFonts w:ascii="宋体" w:hAnsi="宋体" w:cs="宋体"/>
          <w:color w:val="auto"/>
          <w:kern w:val="0"/>
          <w:sz w:val="24"/>
          <w:highlight w:val="none"/>
          <w:lang w:bidi="ar"/>
        </w:rPr>
      </w:pPr>
    </w:p>
    <w:p>
      <w:pPr>
        <w:rPr>
          <w:rFonts w:ascii="宋体" w:hAnsi="宋体" w:cs="宋体"/>
          <w:b/>
          <w:bCs/>
          <w:color w:val="auto"/>
          <w:kern w:val="0"/>
          <w:sz w:val="24"/>
          <w:highlight w:val="none"/>
        </w:rPr>
      </w:pPr>
      <w:r>
        <w:rPr>
          <w:rFonts w:hint="eastAsia" w:ascii="宋体" w:hAnsi="宋体" w:cs="宋体"/>
          <w:b/>
          <w:bCs/>
          <w:color w:val="auto"/>
          <w:kern w:val="0"/>
          <w:sz w:val="24"/>
          <w:highlight w:val="none"/>
        </w:rPr>
        <w:br w:type="page"/>
      </w:r>
    </w:p>
    <w:p>
      <w:pPr>
        <w:pStyle w:val="13"/>
        <w:jc w:val="both"/>
        <w:outlineLvl w:val="9"/>
        <w:rPr>
          <w:rFonts w:ascii="宋体" w:hAnsi="宋体" w:cs="宋体"/>
          <w:color w:val="auto"/>
          <w:kern w:val="0"/>
          <w:sz w:val="24"/>
          <w:szCs w:val="24"/>
          <w:highlight w:val="none"/>
        </w:rPr>
      </w:pPr>
    </w:p>
    <w:p>
      <w:pPr>
        <w:pStyle w:val="13"/>
        <w:jc w:val="both"/>
        <w:outlineLvl w:val="9"/>
        <w:rPr>
          <w:rFonts w:ascii="宋体" w:hAnsi="宋体" w:cs="宋体"/>
          <w:color w:val="auto"/>
          <w:kern w:val="0"/>
          <w:sz w:val="24"/>
          <w:szCs w:val="24"/>
          <w:highlight w:val="none"/>
        </w:rPr>
      </w:pPr>
      <w:r>
        <w:rPr>
          <w:rFonts w:hint="eastAsia" w:ascii="宋体" w:hAnsi="宋体" w:cs="宋体"/>
          <w:color w:val="auto"/>
          <w:kern w:val="0"/>
          <w:sz w:val="24"/>
          <w:szCs w:val="24"/>
          <w:highlight w:val="none"/>
        </w:rPr>
        <w:t>附2：采购标的一览表</w:t>
      </w:r>
      <w:bookmarkEnd w:id="2"/>
    </w:p>
    <w:p>
      <w:pPr>
        <w:rPr>
          <w:color w:val="auto"/>
          <w:highlight w:val="none"/>
        </w:rPr>
      </w:pPr>
    </w:p>
    <w:p>
      <w:pPr>
        <w:widowControl/>
        <w:spacing w:line="500" w:lineRule="exact"/>
        <w:jc w:val="right"/>
        <w:rPr>
          <w:rFonts w:ascii="宋体" w:hAnsi="宋体" w:cs="宋体"/>
          <w:color w:val="auto"/>
          <w:kern w:val="0"/>
          <w:sz w:val="24"/>
          <w:highlight w:val="none"/>
        </w:rPr>
      </w:pPr>
      <w:r>
        <w:rPr>
          <w:rFonts w:hint="eastAsia" w:ascii="宋体" w:hAnsi="宋体" w:cs="宋体"/>
          <w:color w:val="auto"/>
          <w:kern w:val="0"/>
          <w:sz w:val="24"/>
          <w:highlight w:val="none"/>
        </w:rPr>
        <w:t>金额单位：人民币 元</w:t>
      </w:r>
    </w:p>
    <w:p>
      <w:pPr>
        <w:widowControl/>
        <w:spacing w:line="500" w:lineRule="exact"/>
        <w:ind w:right="480"/>
        <w:rPr>
          <w:rFonts w:ascii="宋体" w:hAnsi="宋体" w:cs="宋体"/>
          <w:color w:val="auto"/>
          <w:kern w:val="0"/>
          <w:sz w:val="24"/>
          <w:highlight w:val="none"/>
        </w:rPr>
      </w:pPr>
    </w:p>
    <w:tbl>
      <w:tblPr>
        <w:tblStyle w:val="15"/>
        <w:tblW w:w="9952" w:type="dxa"/>
        <w:jc w:val="center"/>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
      <w:tblGrid>
        <w:gridCol w:w="903"/>
        <w:gridCol w:w="805"/>
        <w:gridCol w:w="2345"/>
        <w:gridCol w:w="832"/>
        <w:gridCol w:w="1301"/>
        <w:gridCol w:w="1042"/>
        <w:gridCol w:w="1253"/>
        <w:gridCol w:w="1471"/>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614" w:hRule="atLeast"/>
          <w:tblHeader/>
          <w:jc w:val="center"/>
        </w:trPr>
        <w:tc>
          <w:tcPr>
            <w:tcW w:w="903" w:type="dxa"/>
            <w:tcBorders>
              <w:top w:val="outset" w:color="auto" w:sz="6" w:space="0"/>
              <w:left w:val="outset" w:color="auto" w:sz="6" w:space="0"/>
              <w:bottom w:val="outset" w:color="auto" w:sz="6" w:space="0"/>
              <w:right w:val="outset" w:color="auto" w:sz="6" w:space="0"/>
            </w:tcBorders>
            <w:vAlign w:val="center"/>
          </w:tcPr>
          <w:p>
            <w:pPr>
              <w:keepNext w:val="0"/>
              <w:keepLines w:val="0"/>
              <w:widowControl/>
              <w:suppressLineNumbers w:val="0"/>
              <w:spacing w:before="0" w:beforeAutospacing="0" w:after="0" w:afterAutospacing="0" w:line="500" w:lineRule="exact"/>
              <w:ind w:left="0" w:right="0"/>
              <w:jc w:val="center"/>
              <w:rPr>
                <w:rFonts w:hint="default" w:ascii="宋体" w:hAnsi="宋体" w:cs="宋体"/>
                <w:b/>
                <w:color w:val="auto"/>
                <w:kern w:val="0"/>
                <w:sz w:val="24"/>
                <w:highlight w:val="none"/>
              </w:rPr>
            </w:pPr>
            <w:r>
              <w:rPr>
                <w:rFonts w:hint="eastAsia" w:ascii="宋体" w:hAnsi="宋体" w:cs="宋体"/>
                <w:b/>
                <w:color w:val="auto"/>
                <w:kern w:val="0"/>
                <w:sz w:val="24"/>
                <w:highlight w:val="none"/>
              </w:rPr>
              <w:t>采购包</w:t>
            </w:r>
          </w:p>
        </w:tc>
        <w:tc>
          <w:tcPr>
            <w:tcW w:w="805" w:type="dxa"/>
            <w:tcBorders>
              <w:top w:val="outset" w:color="auto" w:sz="6" w:space="0"/>
              <w:left w:val="outset" w:color="auto" w:sz="6" w:space="0"/>
              <w:bottom w:val="outset" w:color="auto" w:sz="6" w:space="0"/>
              <w:right w:val="outset" w:color="auto" w:sz="6" w:space="0"/>
            </w:tcBorders>
            <w:vAlign w:val="center"/>
          </w:tcPr>
          <w:p>
            <w:pPr>
              <w:keepNext w:val="0"/>
              <w:keepLines w:val="0"/>
              <w:widowControl/>
              <w:suppressLineNumbers w:val="0"/>
              <w:spacing w:before="0" w:beforeAutospacing="0" w:after="0" w:afterAutospacing="0" w:line="500" w:lineRule="exact"/>
              <w:ind w:left="0" w:right="0"/>
              <w:jc w:val="center"/>
              <w:rPr>
                <w:rFonts w:hint="default" w:ascii="宋体" w:hAnsi="宋体" w:cs="宋体"/>
                <w:b/>
                <w:color w:val="auto"/>
                <w:kern w:val="0"/>
                <w:sz w:val="24"/>
                <w:highlight w:val="none"/>
              </w:rPr>
            </w:pPr>
            <w:r>
              <w:rPr>
                <w:rFonts w:hint="eastAsia" w:ascii="宋体" w:hAnsi="宋体" w:cs="宋体"/>
                <w:b/>
                <w:color w:val="auto"/>
                <w:kern w:val="0"/>
                <w:sz w:val="24"/>
                <w:highlight w:val="none"/>
              </w:rPr>
              <w:t>品目号</w:t>
            </w:r>
          </w:p>
        </w:tc>
        <w:tc>
          <w:tcPr>
            <w:tcW w:w="2345" w:type="dxa"/>
            <w:tcBorders>
              <w:top w:val="outset" w:color="auto" w:sz="6" w:space="0"/>
              <w:left w:val="outset" w:color="auto" w:sz="6" w:space="0"/>
              <w:bottom w:val="outset" w:color="auto" w:sz="6" w:space="0"/>
              <w:right w:val="outset" w:color="auto" w:sz="6" w:space="0"/>
            </w:tcBorders>
            <w:vAlign w:val="center"/>
          </w:tcPr>
          <w:p>
            <w:pPr>
              <w:keepNext w:val="0"/>
              <w:keepLines w:val="0"/>
              <w:widowControl/>
              <w:suppressLineNumbers w:val="0"/>
              <w:spacing w:before="0" w:beforeAutospacing="0" w:after="0" w:afterAutospacing="0" w:line="500" w:lineRule="exact"/>
              <w:ind w:left="0" w:right="0"/>
              <w:jc w:val="center"/>
              <w:rPr>
                <w:rFonts w:hint="default" w:ascii="宋体" w:hAnsi="宋体" w:cs="宋体"/>
                <w:b/>
                <w:color w:val="auto"/>
                <w:kern w:val="0"/>
                <w:sz w:val="24"/>
                <w:highlight w:val="none"/>
              </w:rPr>
            </w:pPr>
            <w:r>
              <w:rPr>
                <w:rFonts w:hint="eastAsia" w:ascii="宋体" w:hAnsi="宋体" w:cs="宋体"/>
                <w:b/>
                <w:color w:val="auto"/>
                <w:kern w:val="0"/>
                <w:sz w:val="24"/>
                <w:highlight w:val="none"/>
              </w:rPr>
              <w:t>采购标的</w:t>
            </w:r>
          </w:p>
        </w:tc>
        <w:tc>
          <w:tcPr>
            <w:tcW w:w="832" w:type="dxa"/>
            <w:tcBorders>
              <w:top w:val="outset" w:color="auto" w:sz="6" w:space="0"/>
              <w:left w:val="outset" w:color="auto" w:sz="6" w:space="0"/>
              <w:bottom w:val="outset" w:color="auto" w:sz="6" w:space="0"/>
              <w:right w:val="outset" w:color="auto" w:sz="6" w:space="0"/>
            </w:tcBorders>
            <w:vAlign w:val="center"/>
          </w:tcPr>
          <w:p>
            <w:pPr>
              <w:keepNext w:val="0"/>
              <w:keepLines w:val="0"/>
              <w:widowControl/>
              <w:suppressLineNumbers w:val="0"/>
              <w:spacing w:before="0" w:beforeAutospacing="0" w:after="0" w:afterAutospacing="0" w:line="500" w:lineRule="exact"/>
              <w:ind w:left="0" w:right="0"/>
              <w:jc w:val="center"/>
              <w:rPr>
                <w:rFonts w:hint="default" w:ascii="宋体" w:hAnsi="宋体" w:cs="宋体"/>
                <w:b/>
                <w:color w:val="auto"/>
                <w:kern w:val="0"/>
                <w:sz w:val="24"/>
                <w:highlight w:val="none"/>
              </w:rPr>
            </w:pPr>
            <w:r>
              <w:rPr>
                <w:rFonts w:hint="eastAsia" w:ascii="宋体" w:hAnsi="宋体" w:cs="宋体"/>
                <w:b/>
                <w:color w:val="auto"/>
                <w:kern w:val="0"/>
                <w:sz w:val="24"/>
                <w:highlight w:val="none"/>
              </w:rPr>
              <w:t>数量</w:t>
            </w:r>
          </w:p>
        </w:tc>
        <w:tc>
          <w:tcPr>
            <w:tcW w:w="1301" w:type="dxa"/>
            <w:tcBorders>
              <w:top w:val="outset" w:color="auto" w:sz="6" w:space="0"/>
              <w:left w:val="outset" w:color="auto" w:sz="6" w:space="0"/>
              <w:bottom w:val="outset" w:color="auto" w:sz="6" w:space="0"/>
              <w:right w:val="outset" w:color="auto" w:sz="6" w:space="0"/>
            </w:tcBorders>
            <w:vAlign w:val="center"/>
          </w:tcPr>
          <w:p>
            <w:pPr>
              <w:keepNext w:val="0"/>
              <w:keepLines w:val="0"/>
              <w:widowControl/>
              <w:suppressLineNumbers w:val="0"/>
              <w:spacing w:before="0" w:beforeAutospacing="0" w:after="0" w:afterAutospacing="0" w:line="500" w:lineRule="exact"/>
              <w:ind w:left="0" w:right="0"/>
              <w:jc w:val="center"/>
              <w:rPr>
                <w:rFonts w:hint="default" w:ascii="宋体" w:hAnsi="宋体" w:cs="宋体"/>
                <w:b/>
                <w:color w:val="auto"/>
                <w:kern w:val="0"/>
                <w:sz w:val="24"/>
                <w:highlight w:val="none"/>
              </w:rPr>
            </w:pPr>
            <w:r>
              <w:rPr>
                <w:rFonts w:hint="eastAsia" w:ascii="宋体" w:hAnsi="宋体" w:cs="宋体"/>
                <w:b/>
                <w:color w:val="auto"/>
                <w:kern w:val="0"/>
                <w:sz w:val="24"/>
                <w:highlight w:val="none"/>
              </w:rPr>
              <w:t>品目号预算金额</w:t>
            </w:r>
          </w:p>
        </w:tc>
        <w:tc>
          <w:tcPr>
            <w:tcW w:w="1042" w:type="dxa"/>
            <w:tcBorders>
              <w:top w:val="outset" w:color="auto" w:sz="6" w:space="0"/>
              <w:left w:val="outset" w:color="auto" w:sz="6" w:space="0"/>
              <w:bottom w:val="outset" w:color="auto" w:sz="6" w:space="0"/>
              <w:right w:val="outset" w:color="auto" w:sz="6" w:space="0"/>
            </w:tcBorders>
            <w:vAlign w:val="center"/>
          </w:tcPr>
          <w:p>
            <w:pPr>
              <w:keepNext w:val="0"/>
              <w:keepLines w:val="0"/>
              <w:widowControl/>
              <w:suppressLineNumbers w:val="0"/>
              <w:spacing w:before="0" w:beforeAutospacing="0" w:after="0" w:afterAutospacing="0" w:line="500" w:lineRule="exact"/>
              <w:ind w:left="0" w:right="0"/>
              <w:jc w:val="center"/>
              <w:rPr>
                <w:rFonts w:hint="default" w:ascii="宋体" w:hAnsi="宋体" w:cs="宋体"/>
                <w:b/>
                <w:color w:val="auto"/>
                <w:kern w:val="0"/>
                <w:sz w:val="24"/>
                <w:highlight w:val="none"/>
              </w:rPr>
            </w:pPr>
            <w:r>
              <w:rPr>
                <w:rFonts w:hint="eastAsia" w:ascii="宋体" w:hAnsi="宋体" w:cs="宋体"/>
                <w:b/>
                <w:color w:val="auto"/>
                <w:kern w:val="0"/>
                <w:sz w:val="24"/>
                <w:highlight w:val="none"/>
              </w:rPr>
              <w:t>允许进口</w:t>
            </w:r>
          </w:p>
        </w:tc>
        <w:tc>
          <w:tcPr>
            <w:tcW w:w="1253" w:type="dxa"/>
            <w:tcBorders>
              <w:top w:val="outset" w:color="auto" w:sz="6" w:space="0"/>
              <w:left w:val="outset" w:color="auto" w:sz="6" w:space="0"/>
              <w:bottom w:val="outset" w:color="auto" w:sz="6" w:space="0"/>
              <w:right w:val="outset" w:color="auto" w:sz="6" w:space="0"/>
            </w:tcBorders>
            <w:vAlign w:val="center"/>
          </w:tcPr>
          <w:p>
            <w:pPr>
              <w:keepNext w:val="0"/>
              <w:keepLines w:val="0"/>
              <w:widowControl/>
              <w:suppressLineNumbers w:val="0"/>
              <w:spacing w:before="0" w:beforeAutospacing="0" w:after="0" w:afterAutospacing="0" w:line="500" w:lineRule="exact"/>
              <w:ind w:left="0" w:right="0"/>
              <w:jc w:val="center"/>
              <w:rPr>
                <w:rFonts w:hint="default" w:ascii="宋体" w:hAnsi="宋体" w:cs="宋体"/>
                <w:b/>
                <w:color w:val="auto"/>
                <w:kern w:val="0"/>
                <w:sz w:val="24"/>
                <w:highlight w:val="none"/>
              </w:rPr>
            </w:pPr>
            <w:r>
              <w:rPr>
                <w:rFonts w:hint="eastAsia" w:ascii="宋体" w:hAnsi="宋体" w:cs="宋体"/>
                <w:b/>
                <w:color w:val="auto"/>
                <w:kern w:val="0"/>
                <w:sz w:val="24"/>
                <w:highlight w:val="none"/>
              </w:rPr>
              <w:t>采购包预算金额</w:t>
            </w:r>
          </w:p>
        </w:tc>
        <w:tc>
          <w:tcPr>
            <w:tcW w:w="1471" w:type="dxa"/>
            <w:tcBorders>
              <w:top w:val="outset" w:color="auto" w:sz="6" w:space="0"/>
              <w:left w:val="outset" w:color="auto" w:sz="6" w:space="0"/>
              <w:bottom w:val="outset" w:color="auto" w:sz="6" w:space="0"/>
              <w:right w:val="outset" w:color="auto" w:sz="6" w:space="0"/>
            </w:tcBorders>
            <w:vAlign w:val="center"/>
          </w:tcPr>
          <w:p>
            <w:pPr>
              <w:keepNext w:val="0"/>
              <w:keepLines w:val="0"/>
              <w:widowControl/>
              <w:suppressLineNumbers w:val="0"/>
              <w:spacing w:before="0" w:beforeAutospacing="0" w:after="0" w:afterAutospacing="0" w:line="500" w:lineRule="exact"/>
              <w:ind w:left="0" w:right="0"/>
              <w:jc w:val="center"/>
              <w:rPr>
                <w:rFonts w:hint="default" w:ascii="宋体" w:hAnsi="宋体" w:cs="宋体"/>
                <w:b/>
                <w:color w:val="auto"/>
                <w:kern w:val="0"/>
                <w:sz w:val="24"/>
                <w:highlight w:val="none"/>
              </w:rPr>
            </w:pPr>
            <w:r>
              <w:rPr>
                <w:rFonts w:hint="eastAsia" w:ascii="宋体" w:hAnsi="宋体" w:cs="宋体"/>
                <w:b/>
                <w:bCs/>
                <w:color w:val="auto"/>
                <w:kern w:val="0"/>
                <w:sz w:val="24"/>
                <w:highlight w:val="none"/>
              </w:rPr>
              <w:t>磋商保证金</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812" w:hRule="atLeast"/>
          <w:tblHeader/>
          <w:jc w:val="center"/>
        </w:trPr>
        <w:tc>
          <w:tcPr>
            <w:tcW w:w="903" w:type="dxa"/>
            <w:tcBorders>
              <w:top w:val="outset" w:color="auto" w:sz="6" w:space="0"/>
              <w:left w:val="outset" w:color="auto" w:sz="6" w:space="0"/>
              <w:bottom w:val="outset" w:color="auto" w:sz="6" w:space="0"/>
              <w:right w:val="outset" w:color="auto" w:sz="6" w:space="0"/>
            </w:tcBorders>
            <w:vAlign w:val="center"/>
          </w:tcPr>
          <w:p>
            <w:pPr>
              <w:keepNext w:val="0"/>
              <w:keepLines w:val="0"/>
              <w:suppressLineNumbers w:val="0"/>
              <w:spacing w:before="0" w:beforeAutospacing="0" w:after="0" w:afterAutospacing="0" w:line="500" w:lineRule="exact"/>
              <w:ind w:left="0" w:right="0"/>
              <w:jc w:val="center"/>
              <w:rPr>
                <w:rStyle w:val="18"/>
                <w:rFonts w:hint="default" w:ascii="宋体" w:hAnsi="宋体" w:cs="宋体"/>
                <w:b w:val="0"/>
                <w:bCs/>
                <w:color w:val="auto"/>
                <w:kern w:val="0"/>
                <w:szCs w:val="21"/>
                <w:highlight w:val="none"/>
                <w:lang w:bidi="ar"/>
              </w:rPr>
            </w:pPr>
            <w:r>
              <w:rPr>
                <w:rStyle w:val="18"/>
                <w:rFonts w:hint="eastAsia" w:ascii="宋体" w:hAnsi="宋体" w:cs="宋体"/>
                <w:b w:val="0"/>
                <w:bCs/>
                <w:color w:val="auto"/>
                <w:kern w:val="0"/>
                <w:szCs w:val="21"/>
                <w:highlight w:val="none"/>
                <w:lang w:bidi="ar"/>
              </w:rPr>
              <w:t>1</w:t>
            </w:r>
          </w:p>
        </w:tc>
        <w:tc>
          <w:tcPr>
            <w:tcW w:w="805" w:type="dxa"/>
            <w:tcBorders>
              <w:top w:val="outset" w:color="auto" w:sz="6" w:space="0"/>
              <w:left w:val="outset" w:color="auto" w:sz="6" w:space="0"/>
              <w:bottom w:val="outset" w:color="auto" w:sz="6" w:space="0"/>
              <w:right w:val="outset" w:color="auto" w:sz="6" w:space="0"/>
            </w:tcBorders>
            <w:vAlign w:val="center"/>
          </w:tcPr>
          <w:p>
            <w:pPr>
              <w:keepNext w:val="0"/>
              <w:keepLines w:val="0"/>
              <w:suppressLineNumbers w:val="0"/>
              <w:spacing w:before="0" w:beforeAutospacing="0" w:after="0" w:afterAutospacing="0" w:line="500" w:lineRule="exact"/>
              <w:ind w:left="0" w:right="0"/>
              <w:jc w:val="center"/>
              <w:rPr>
                <w:rStyle w:val="18"/>
                <w:rFonts w:hint="default" w:ascii="宋体" w:hAnsi="宋体" w:cs="宋体"/>
                <w:b w:val="0"/>
                <w:bCs/>
                <w:color w:val="auto"/>
                <w:kern w:val="0"/>
                <w:szCs w:val="21"/>
                <w:highlight w:val="none"/>
                <w:lang w:bidi="ar"/>
              </w:rPr>
            </w:pPr>
            <w:r>
              <w:rPr>
                <w:rStyle w:val="18"/>
                <w:rFonts w:hint="eastAsia" w:ascii="宋体" w:hAnsi="宋体" w:cs="宋体"/>
                <w:b w:val="0"/>
                <w:bCs/>
                <w:color w:val="auto"/>
                <w:kern w:val="0"/>
                <w:szCs w:val="21"/>
                <w:highlight w:val="none"/>
                <w:lang w:bidi="ar"/>
              </w:rPr>
              <w:t>1-1</w:t>
            </w:r>
          </w:p>
        </w:tc>
        <w:tc>
          <w:tcPr>
            <w:tcW w:w="2345" w:type="dxa"/>
            <w:tcBorders>
              <w:top w:val="outset" w:color="auto" w:sz="6" w:space="0"/>
              <w:left w:val="outset" w:color="auto" w:sz="6" w:space="0"/>
              <w:bottom w:val="outset" w:color="auto" w:sz="6" w:space="0"/>
              <w:right w:val="outset" w:color="auto" w:sz="6" w:space="0"/>
            </w:tcBorders>
            <w:vAlign w:val="center"/>
          </w:tcPr>
          <w:p>
            <w:pPr>
              <w:keepNext w:val="0"/>
              <w:keepLines w:val="0"/>
              <w:widowControl/>
              <w:suppressLineNumbers w:val="0"/>
              <w:spacing w:before="0" w:beforeAutospacing="0" w:after="0" w:afterAutospacing="0" w:line="500" w:lineRule="exact"/>
              <w:ind w:left="0" w:right="0"/>
              <w:jc w:val="center"/>
              <w:textAlignment w:val="center"/>
              <w:rPr>
                <w:rStyle w:val="18"/>
                <w:rFonts w:hint="default" w:ascii="宋体" w:hAnsi="宋体" w:cs="宋体"/>
                <w:b w:val="0"/>
                <w:bCs/>
                <w:color w:val="auto"/>
                <w:kern w:val="0"/>
                <w:szCs w:val="21"/>
                <w:highlight w:val="none"/>
                <w:lang w:bidi="ar"/>
              </w:rPr>
            </w:pPr>
            <w:r>
              <w:rPr>
                <w:rStyle w:val="18"/>
                <w:rFonts w:hint="eastAsia" w:ascii="宋体" w:hAnsi="宋体" w:cs="宋体"/>
                <w:b w:val="0"/>
                <w:bCs/>
                <w:color w:val="auto"/>
                <w:kern w:val="0"/>
                <w:szCs w:val="21"/>
                <w:highlight w:val="none"/>
                <w:lang w:bidi="ar"/>
              </w:rPr>
              <w:t>生产要素平台展示设备</w:t>
            </w:r>
          </w:p>
        </w:tc>
        <w:tc>
          <w:tcPr>
            <w:tcW w:w="832" w:type="dxa"/>
            <w:tcBorders>
              <w:top w:val="outset" w:color="auto" w:sz="6" w:space="0"/>
              <w:left w:val="outset" w:color="auto" w:sz="6" w:space="0"/>
              <w:bottom w:val="outset" w:color="auto" w:sz="6" w:space="0"/>
              <w:right w:val="outset" w:color="auto" w:sz="6" w:space="0"/>
            </w:tcBorders>
            <w:vAlign w:val="center"/>
          </w:tcPr>
          <w:p>
            <w:pPr>
              <w:keepNext w:val="0"/>
              <w:keepLines w:val="0"/>
              <w:suppressLineNumbers w:val="0"/>
              <w:spacing w:before="0" w:beforeAutospacing="0" w:after="0" w:afterAutospacing="0" w:line="500" w:lineRule="exact"/>
              <w:ind w:left="0" w:right="0"/>
              <w:jc w:val="center"/>
              <w:rPr>
                <w:rStyle w:val="18"/>
                <w:rFonts w:hint="default" w:ascii="宋体" w:hAnsi="宋体" w:cs="宋体"/>
                <w:b w:val="0"/>
                <w:bCs/>
                <w:color w:val="auto"/>
                <w:kern w:val="0"/>
                <w:szCs w:val="21"/>
                <w:highlight w:val="none"/>
                <w:lang w:bidi="ar"/>
              </w:rPr>
            </w:pPr>
            <w:r>
              <w:rPr>
                <w:rStyle w:val="18"/>
                <w:rFonts w:hint="eastAsia" w:ascii="宋体" w:hAnsi="宋体" w:cs="宋体"/>
                <w:b w:val="0"/>
                <w:bCs/>
                <w:color w:val="auto"/>
                <w:kern w:val="0"/>
                <w:szCs w:val="21"/>
                <w:highlight w:val="none"/>
                <w:lang w:bidi="ar"/>
              </w:rPr>
              <w:t>1批</w:t>
            </w:r>
          </w:p>
        </w:tc>
        <w:tc>
          <w:tcPr>
            <w:tcW w:w="1301" w:type="dxa"/>
            <w:tcBorders>
              <w:top w:val="outset" w:color="auto" w:sz="6" w:space="0"/>
              <w:left w:val="outset" w:color="auto" w:sz="6" w:space="0"/>
              <w:bottom w:val="outset" w:color="auto" w:sz="6" w:space="0"/>
              <w:right w:val="outset" w:color="auto" w:sz="6" w:space="0"/>
            </w:tcBorders>
            <w:vAlign w:val="center"/>
          </w:tcPr>
          <w:p>
            <w:pPr>
              <w:keepNext w:val="0"/>
              <w:keepLines w:val="0"/>
              <w:suppressLineNumbers w:val="0"/>
              <w:spacing w:before="0" w:beforeAutospacing="0" w:after="0" w:afterAutospacing="0" w:line="500" w:lineRule="exact"/>
              <w:ind w:left="0" w:right="0"/>
              <w:jc w:val="center"/>
              <w:rPr>
                <w:rStyle w:val="18"/>
                <w:rFonts w:hint="default" w:ascii="宋体" w:hAnsi="宋体" w:cs="宋体"/>
                <w:b w:val="0"/>
                <w:bCs/>
                <w:color w:val="auto"/>
                <w:kern w:val="0"/>
                <w:szCs w:val="21"/>
                <w:highlight w:val="none"/>
                <w:lang w:bidi="ar"/>
              </w:rPr>
            </w:pPr>
            <w:r>
              <w:rPr>
                <w:rStyle w:val="18"/>
                <w:rFonts w:hint="eastAsia" w:ascii="宋体" w:hAnsi="宋体" w:cs="宋体"/>
                <w:b w:val="0"/>
                <w:bCs/>
                <w:color w:val="auto"/>
                <w:kern w:val="0"/>
                <w:szCs w:val="21"/>
                <w:highlight w:val="none"/>
                <w:lang w:bidi="ar"/>
              </w:rPr>
              <w:t>570722</w:t>
            </w:r>
          </w:p>
        </w:tc>
        <w:tc>
          <w:tcPr>
            <w:tcW w:w="1042" w:type="dxa"/>
            <w:tcBorders>
              <w:top w:val="outset" w:color="auto" w:sz="6" w:space="0"/>
              <w:left w:val="outset" w:color="auto" w:sz="6" w:space="0"/>
              <w:bottom w:val="outset" w:color="auto" w:sz="6" w:space="0"/>
              <w:right w:val="outset" w:color="auto" w:sz="6" w:space="0"/>
            </w:tcBorders>
            <w:vAlign w:val="center"/>
          </w:tcPr>
          <w:p>
            <w:pPr>
              <w:keepNext w:val="0"/>
              <w:keepLines w:val="0"/>
              <w:widowControl/>
              <w:suppressLineNumbers w:val="0"/>
              <w:spacing w:before="0" w:beforeAutospacing="0" w:after="0" w:afterAutospacing="0" w:line="500" w:lineRule="exact"/>
              <w:ind w:left="0" w:right="0"/>
              <w:jc w:val="center"/>
              <w:rPr>
                <w:rStyle w:val="18"/>
                <w:rFonts w:hint="default" w:ascii="宋体" w:hAnsi="宋体" w:cs="宋体"/>
                <w:b w:val="0"/>
                <w:bCs/>
                <w:color w:val="auto"/>
                <w:kern w:val="0"/>
                <w:szCs w:val="21"/>
                <w:highlight w:val="none"/>
                <w:lang w:bidi="ar"/>
              </w:rPr>
            </w:pPr>
            <w:r>
              <w:rPr>
                <w:rStyle w:val="18"/>
                <w:rFonts w:hint="eastAsia" w:ascii="宋体" w:hAnsi="宋体" w:cs="宋体"/>
                <w:b w:val="0"/>
                <w:bCs/>
                <w:color w:val="auto"/>
                <w:kern w:val="0"/>
                <w:szCs w:val="21"/>
                <w:highlight w:val="none"/>
                <w:lang w:bidi="ar"/>
              </w:rPr>
              <w:t>否</w:t>
            </w:r>
          </w:p>
        </w:tc>
        <w:tc>
          <w:tcPr>
            <w:tcW w:w="1253" w:type="dxa"/>
            <w:tcBorders>
              <w:top w:val="outset" w:color="auto" w:sz="6" w:space="0"/>
              <w:left w:val="outset" w:color="auto" w:sz="6" w:space="0"/>
              <w:bottom w:val="outset" w:color="auto" w:sz="6" w:space="0"/>
              <w:right w:val="outset" w:color="auto" w:sz="6" w:space="0"/>
            </w:tcBorders>
            <w:vAlign w:val="center"/>
          </w:tcPr>
          <w:p>
            <w:pPr>
              <w:keepNext w:val="0"/>
              <w:keepLines w:val="0"/>
              <w:widowControl/>
              <w:suppressLineNumbers w:val="0"/>
              <w:spacing w:before="0" w:beforeAutospacing="0" w:after="0" w:afterAutospacing="0" w:line="500" w:lineRule="exact"/>
              <w:ind w:left="0" w:right="0"/>
              <w:jc w:val="center"/>
              <w:rPr>
                <w:rStyle w:val="18"/>
                <w:rFonts w:hint="default" w:ascii="宋体" w:hAnsi="宋体" w:cs="宋体"/>
                <w:b w:val="0"/>
                <w:bCs/>
                <w:color w:val="auto"/>
                <w:kern w:val="0"/>
                <w:szCs w:val="21"/>
                <w:highlight w:val="none"/>
                <w:lang w:bidi="ar"/>
              </w:rPr>
            </w:pPr>
            <w:r>
              <w:rPr>
                <w:rStyle w:val="18"/>
                <w:rFonts w:hint="eastAsia" w:ascii="宋体" w:hAnsi="宋体" w:cs="宋体"/>
                <w:b w:val="0"/>
                <w:bCs/>
                <w:color w:val="auto"/>
                <w:kern w:val="0"/>
                <w:szCs w:val="21"/>
                <w:highlight w:val="none"/>
                <w:lang w:bidi="ar"/>
              </w:rPr>
              <w:t>570722</w:t>
            </w:r>
          </w:p>
        </w:tc>
        <w:tc>
          <w:tcPr>
            <w:tcW w:w="1471" w:type="dxa"/>
            <w:tcBorders>
              <w:top w:val="outset" w:color="auto" w:sz="6" w:space="0"/>
              <w:left w:val="outset" w:color="auto" w:sz="6" w:space="0"/>
              <w:bottom w:val="outset" w:color="auto" w:sz="6" w:space="0"/>
              <w:right w:val="outset" w:color="auto" w:sz="6" w:space="0"/>
            </w:tcBorders>
            <w:vAlign w:val="center"/>
          </w:tcPr>
          <w:p>
            <w:pPr>
              <w:keepNext w:val="0"/>
              <w:keepLines w:val="0"/>
              <w:widowControl/>
              <w:suppressLineNumbers w:val="0"/>
              <w:spacing w:before="0" w:beforeAutospacing="0" w:after="0" w:afterAutospacing="0" w:line="500" w:lineRule="exact"/>
              <w:ind w:left="0" w:right="0"/>
              <w:jc w:val="center"/>
              <w:rPr>
                <w:rStyle w:val="18"/>
                <w:rFonts w:hint="default" w:ascii="宋体" w:hAnsi="宋体" w:cs="宋体"/>
                <w:b w:val="0"/>
                <w:bCs/>
                <w:color w:val="auto"/>
                <w:kern w:val="0"/>
                <w:szCs w:val="21"/>
                <w:highlight w:val="none"/>
                <w:lang w:bidi="ar"/>
              </w:rPr>
            </w:pPr>
            <w:r>
              <w:rPr>
                <w:rStyle w:val="18"/>
                <w:rFonts w:hint="eastAsia" w:ascii="宋体" w:hAnsi="宋体" w:cs="宋体"/>
                <w:b w:val="0"/>
                <w:bCs/>
                <w:color w:val="auto"/>
                <w:kern w:val="0"/>
                <w:szCs w:val="21"/>
                <w:highlight w:val="none"/>
                <w:lang w:bidi="ar"/>
              </w:rPr>
              <w:t>11000</w:t>
            </w:r>
          </w:p>
        </w:tc>
      </w:tr>
    </w:tbl>
    <w:p>
      <w:pPr>
        <w:widowControl/>
        <w:jc w:val="left"/>
        <w:rPr>
          <w:rFonts w:ascii="宋体" w:hAnsi="宋体" w:cs="宋体"/>
          <w:color w:val="auto"/>
          <w:highlight w:val="none"/>
        </w:rPr>
      </w:pPr>
    </w:p>
    <w:p>
      <w:pPr>
        <w:pStyle w:val="12"/>
        <w:widowControl/>
        <w:spacing w:before="75" w:beforeAutospacing="0" w:after="75" w:afterAutospacing="0"/>
        <w:ind w:firstLine="480" w:firstLineChars="200"/>
        <w:outlineLvl w:val="0"/>
        <w:rPr>
          <w:rFonts w:ascii="宋体" w:hAnsi="宋体" w:cs="宋体"/>
          <w:color w:val="auto"/>
          <w:highlight w:val="none"/>
        </w:rPr>
      </w:pPr>
      <w:r>
        <w:rPr>
          <w:rFonts w:hint="eastAsia" w:ascii="宋体" w:hAnsi="宋体" w:cs="宋体"/>
          <w:color w:val="auto"/>
          <w:highlight w:val="none"/>
        </w:rPr>
        <w:t> </w:t>
      </w:r>
      <w:r>
        <w:rPr>
          <w:rStyle w:val="18"/>
          <w:rFonts w:hint="eastAsia" w:ascii="宋体" w:hAnsi="宋体" w:cs="宋体"/>
          <w:b w:val="0"/>
          <w:bCs/>
          <w:color w:val="auto"/>
          <w:sz w:val="21"/>
          <w:szCs w:val="21"/>
          <w:highlight w:val="none"/>
        </w:rPr>
        <w:t>注：供应商应以包括该项目所涉及的有关所有费用进行报价，包括但不限于：设备和材料（含采购、交通、运输）、检测费用、安装涉及的辅材、安装调试及试运行、验收、劳务、管理、劳保、售后服务、维护、保险、利润、税款、</w:t>
      </w:r>
      <w:r>
        <w:rPr>
          <w:rStyle w:val="18"/>
          <w:rFonts w:hint="eastAsia" w:ascii="宋体" w:hAnsi="宋体" w:eastAsia="宋体" w:cs="宋体"/>
          <w:b w:val="0"/>
          <w:bCs/>
          <w:color w:val="auto"/>
          <w:sz w:val="21"/>
          <w:szCs w:val="21"/>
          <w:highlight w:val="none"/>
          <w:lang w:val="en-US" w:eastAsia="zh-CN"/>
        </w:rPr>
        <w:t>采购代理服务费</w:t>
      </w:r>
      <w:r>
        <w:rPr>
          <w:rStyle w:val="18"/>
          <w:rFonts w:hint="eastAsia" w:ascii="宋体" w:hAnsi="宋体" w:cs="宋体"/>
          <w:b w:val="0"/>
          <w:bCs/>
          <w:color w:val="auto"/>
          <w:sz w:val="21"/>
          <w:szCs w:val="21"/>
          <w:highlight w:val="none"/>
        </w:rPr>
        <w:t>等可能涉及的费用及政策性文件规定的各项应有费用，以及可合理推断的责任和义务；凡漏报的费用均视为已包括在供应商报价中，后续采购人不再支付额外的费用。</w:t>
      </w:r>
    </w:p>
    <w:p>
      <w:pPr>
        <w:pStyle w:val="12"/>
        <w:widowControl/>
        <w:spacing w:before="75" w:beforeAutospacing="0" w:after="75" w:afterAutospacing="0"/>
        <w:jc w:val="center"/>
        <w:outlineLvl w:val="0"/>
        <w:rPr>
          <w:rFonts w:ascii="宋体" w:hAnsi="宋体" w:cs="宋体"/>
          <w:color w:val="auto"/>
          <w:highlight w:val="none"/>
        </w:rPr>
      </w:pPr>
      <w:r>
        <w:rPr>
          <w:rStyle w:val="18"/>
          <w:rFonts w:hint="eastAsia" w:ascii="宋体" w:hAnsi="宋体" w:cs="宋体"/>
          <w:color w:val="auto"/>
          <w:sz w:val="43"/>
          <w:szCs w:val="43"/>
          <w:highlight w:val="none"/>
        </w:rPr>
        <w:br w:type="page"/>
      </w:r>
      <w:bookmarkStart w:id="3" w:name="_Toc23619"/>
      <w:r>
        <w:rPr>
          <w:rStyle w:val="18"/>
          <w:rFonts w:hint="eastAsia" w:ascii="宋体" w:hAnsi="宋体" w:cs="宋体"/>
          <w:color w:val="auto"/>
          <w:sz w:val="43"/>
          <w:szCs w:val="43"/>
          <w:highlight w:val="none"/>
        </w:rPr>
        <w:t>第二章  竞争性磋商须知</w:t>
      </w:r>
      <w:bookmarkEnd w:id="3"/>
    </w:p>
    <w:p>
      <w:pPr>
        <w:pStyle w:val="12"/>
        <w:widowControl/>
        <w:spacing w:before="75" w:beforeAutospacing="0" w:after="75" w:afterAutospacing="0" w:line="435" w:lineRule="atLeast"/>
        <w:jc w:val="center"/>
        <w:rPr>
          <w:rFonts w:ascii="宋体" w:hAnsi="宋体" w:cs="宋体"/>
          <w:color w:val="auto"/>
          <w:highlight w:val="none"/>
        </w:rPr>
      </w:pPr>
      <w:r>
        <w:rPr>
          <w:rStyle w:val="18"/>
          <w:rFonts w:hint="eastAsia" w:ascii="宋体" w:hAnsi="宋体" w:cs="宋体"/>
          <w:color w:val="auto"/>
          <w:sz w:val="31"/>
          <w:szCs w:val="31"/>
          <w:highlight w:val="none"/>
        </w:rPr>
        <w:t>第1节  竞争性磋商须知前附表</w:t>
      </w:r>
    </w:p>
    <w:p>
      <w:pPr>
        <w:pStyle w:val="12"/>
        <w:widowControl/>
        <w:spacing w:before="75" w:beforeAutospacing="0" w:after="75" w:afterAutospacing="0" w:line="435" w:lineRule="atLeast"/>
        <w:ind w:firstLine="480"/>
        <w:rPr>
          <w:rFonts w:ascii="宋体" w:hAnsi="宋体" w:cs="宋体"/>
          <w:color w:val="auto"/>
          <w:highlight w:val="none"/>
        </w:rPr>
      </w:pPr>
      <w:r>
        <w:rPr>
          <w:rFonts w:hint="eastAsia" w:ascii="宋体" w:hAnsi="宋体" w:cs="宋体"/>
          <w:color w:val="auto"/>
          <w:highlight w:val="none"/>
        </w:rPr>
        <w:t> </w:t>
      </w:r>
    </w:p>
    <w:p>
      <w:pPr>
        <w:pStyle w:val="12"/>
        <w:widowControl/>
        <w:spacing w:before="75" w:beforeAutospacing="0" w:after="75" w:afterAutospacing="0" w:line="435" w:lineRule="atLeast"/>
        <w:ind w:firstLine="480"/>
        <w:rPr>
          <w:rFonts w:ascii="宋体" w:hAnsi="宋体" w:cs="宋体"/>
          <w:color w:val="auto"/>
          <w:highlight w:val="none"/>
        </w:rPr>
      </w:pPr>
      <w:r>
        <w:rPr>
          <w:rFonts w:hint="eastAsia" w:ascii="宋体" w:hAnsi="宋体" w:cs="宋体"/>
          <w:color w:val="auto"/>
          <w:highlight w:val="none"/>
        </w:rPr>
        <w:t>竞争性磋商须知前附表是对竞争性磋商须知的补充和细化，二者如有矛盾，以前附表中的要求和规定为准</w:t>
      </w:r>
    </w:p>
    <w:tbl>
      <w:tblPr>
        <w:tblStyle w:val="15"/>
        <w:tblW w:w="0" w:type="auto"/>
        <w:tblCellSpacing w:w="15" w:type="dxa"/>
        <w:tblInd w:w="194" w:type="dxa"/>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15" w:type="dxa"/>
          <w:left w:w="15" w:type="dxa"/>
          <w:bottom w:w="15" w:type="dxa"/>
          <w:right w:w="15" w:type="dxa"/>
        </w:tblCellMar>
      </w:tblPr>
      <w:tblGrid>
        <w:gridCol w:w="714"/>
        <w:gridCol w:w="979"/>
        <w:gridCol w:w="8365"/>
      </w:tblGrid>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rHeight w:val="642" w:hRule="atLeast"/>
          <w:tblCellSpacing w:w="15" w:type="dxa"/>
        </w:trPr>
        <w:tc>
          <w:tcPr>
            <w:tcW w:w="669" w:type="dxa"/>
            <w:tcBorders>
              <w:top w:val="single" w:color="000000" w:sz="6" w:space="0"/>
              <w:left w:val="single" w:color="000000" w:sz="6" w:space="0"/>
              <w:bottom w:val="single" w:color="000000" w:sz="6" w:space="0"/>
              <w:right w:val="single" w:color="000000" w:sz="6" w:space="0"/>
            </w:tcBorders>
            <w:tcMar>
              <w:top w:w="0" w:type="dxa"/>
              <w:left w:w="105" w:type="dxa"/>
              <w:bottom w:w="0" w:type="dxa"/>
              <w:right w:w="105" w:type="dxa"/>
            </w:tcMar>
          </w:tcPr>
          <w:p>
            <w:pPr>
              <w:keepNext w:val="0"/>
              <w:keepLines w:val="0"/>
              <w:widowControl/>
              <w:suppressLineNumbers w:val="0"/>
              <w:spacing w:before="0" w:beforeAutospacing="0" w:after="0" w:afterAutospacing="0" w:line="500" w:lineRule="exact"/>
              <w:ind w:left="0" w:right="0"/>
              <w:jc w:val="left"/>
              <w:rPr>
                <w:rFonts w:hint="default" w:ascii="宋体" w:hAnsi="宋体" w:cs="宋体"/>
                <w:color w:val="auto"/>
                <w:kern w:val="0"/>
                <w:szCs w:val="21"/>
                <w:highlight w:val="none"/>
              </w:rPr>
            </w:pPr>
            <w:r>
              <w:rPr>
                <w:rFonts w:hint="eastAsia" w:ascii="宋体" w:hAnsi="宋体" w:cs="宋体"/>
                <w:b/>
                <w:bCs/>
                <w:color w:val="auto"/>
                <w:kern w:val="0"/>
                <w:szCs w:val="21"/>
                <w:highlight w:val="none"/>
              </w:rPr>
              <w:t>项号</w:t>
            </w:r>
          </w:p>
        </w:tc>
        <w:tc>
          <w:tcPr>
            <w:tcW w:w="949" w:type="dxa"/>
            <w:tcBorders>
              <w:top w:val="single" w:color="000000" w:sz="6" w:space="0"/>
              <w:left w:val="single" w:color="000000" w:sz="6" w:space="0"/>
              <w:bottom w:val="single" w:color="000000" w:sz="6" w:space="0"/>
              <w:right w:val="single" w:color="000000" w:sz="6" w:space="0"/>
            </w:tcBorders>
            <w:tcMar>
              <w:top w:w="0" w:type="dxa"/>
              <w:left w:w="105" w:type="dxa"/>
              <w:bottom w:w="0" w:type="dxa"/>
              <w:right w:w="105" w:type="dxa"/>
            </w:tcMar>
          </w:tcPr>
          <w:p>
            <w:pPr>
              <w:keepNext w:val="0"/>
              <w:keepLines w:val="0"/>
              <w:widowControl/>
              <w:suppressLineNumbers w:val="0"/>
              <w:spacing w:before="0" w:beforeAutospacing="0" w:after="0" w:afterAutospacing="0" w:line="500" w:lineRule="exact"/>
              <w:ind w:left="0" w:right="0"/>
              <w:jc w:val="left"/>
              <w:rPr>
                <w:rFonts w:hint="default" w:ascii="宋体" w:hAnsi="宋体" w:cs="宋体"/>
                <w:color w:val="auto"/>
                <w:kern w:val="0"/>
                <w:szCs w:val="21"/>
                <w:highlight w:val="none"/>
              </w:rPr>
            </w:pPr>
            <w:r>
              <w:rPr>
                <w:rFonts w:hint="eastAsia" w:ascii="宋体" w:hAnsi="宋体" w:cs="宋体"/>
                <w:b/>
                <w:bCs/>
                <w:color w:val="auto"/>
                <w:kern w:val="0"/>
                <w:szCs w:val="21"/>
                <w:highlight w:val="none"/>
              </w:rPr>
              <w:t>条款号</w:t>
            </w:r>
          </w:p>
        </w:tc>
        <w:tc>
          <w:tcPr>
            <w:tcW w:w="8320" w:type="dxa"/>
            <w:tcBorders>
              <w:top w:val="single" w:color="000000" w:sz="6" w:space="0"/>
              <w:left w:val="single" w:color="000000" w:sz="6" w:space="0"/>
              <w:bottom w:val="single" w:color="000000" w:sz="6" w:space="0"/>
              <w:right w:val="single" w:color="000000" w:sz="6" w:space="0"/>
            </w:tcBorders>
            <w:tcMar>
              <w:top w:w="0" w:type="dxa"/>
              <w:left w:w="105" w:type="dxa"/>
              <w:bottom w:w="0" w:type="dxa"/>
              <w:right w:w="105" w:type="dxa"/>
            </w:tcMar>
          </w:tcPr>
          <w:p>
            <w:pPr>
              <w:keepNext w:val="0"/>
              <w:keepLines w:val="0"/>
              <w:widowControl/>
              <w:suppressLineNumbers w:val="0"/>
              <w:spacing w:before="0" w:beforeAutospacing="0" w:after="0" w:afterAutospacing="0" w:line="500" w:lineRule="exact"/>
              <w:ind w:left="0" w:right="0"/>
              <w:jc w:val="center"/>
              <w:rPr>
                <w:rFonts w:hint="default" w:ascii="宋体" w:hAnsi="宋体" w:cs="宋体"/>
                <w:color w:val="auto"/>
                <w:kern w:val="0"/>
                <w:szCs w:val="21"/>
                <w:highlight w:val="none"/>
              </w:rPr>
            </w:pPr>
            <w:r>
              <w:rPr>
                <w:rFonts w:hint="eastAsia" w:ascii="宋体" w:hAnsi="宋体" w:cs="宋体"/>
                <w:b/>
                <w:bCs/>
                <w:color w:val="auto"/>
                <w:kern w:val="0"/>
                <w:szCs w:val="21"/>
                <w:highlight w:val="none"/>
              </w:rPr>
              <w:t>编列内容</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rHeight w:val="1009" w:hRule="atLeast"/>
          <w:tblCellSpacing w:w="15" w:type="dxa"/>
        </w:trPr>
        <w:tc>
          <w:tcPr>
            <w:tcW w:w="669" w:type="dxa"/>
            <w:tcBorders>
              <w:top w:val="single" w:color="000000" w:sz="6" w:space="0"/>
              <w:left w:val="single" w:color="000000" w:sz="6" w:space="0"/>
              <w:bottom w:val="single" w:color="000000" w:sz="6" w:space="0"/>
              <w:right w:val="single" w:color="000000" w:sz="6" w:space="0"/>
            </w:tcBorders>
            <w:tcMar>
              <w:top w:w="0" w:type="dxa"/>
              <w:left w:w="105" w:type="dxa"/>
              <w:bottom w:w="0" w:type="dxa"/>
              <w:right w:w="105" w:type="dxa"/>
            </w:tcMar>
            <w:vAlign w:val="center"/>
          </w:tcPr>
          <w:p>
            <w:pPr>
              <w:keepNext w:val="0"/>
              <w:keepLines w:val="0"/>
              <w:widowControl/>
              <w:suppressLineNumbers w:val="0"/>
              <w:spacing w:before="0" w:beforeAutospacing="0" w:after="0" w:afterAutospacing="0" w:line="500" w:lineRule="exact"/>
              <w:ind w:left="0" w:right="0"/>
              <w:jc w:val="center"/>
              <w:rPr>
                <w:rFonts w:hint="default" w:ascii="宋体" w:hAnsi="宋体" w:cs="宋体"/>
                <w:color w:val="auto"/>
                <w:kern w:val="0"/>
                <w:szCs w:val="21"/>
                <w:highlight w:val="none"/>
              </w:rPr>
            </w:pPr>
            <w:r>
              <w:rPr>
                <w:rFonts w:hint="eastAsia" w:ascii="宋体" w:hAnsi="宋体" w:cs="宋体"/>
                <w:color w:val="auto"/>
                <w:kern w:val="0"/>
                <w:szCs w:val="21"/>
                <w:highlight w:val="none"/>
              </w:rPr>
              <w:t>1</w:t>
            </w:r>
          </w:p>
        </w:tc>
        <w:tc>
          <w:tcPr>
            <w:tcW w:w="949" w:type="dxa"/>
            <w:tcBorders>
              <w:top w:val="single" w:color="000000" w:sz="6" w:space="0"/>
              <w:left w:val="single" w:color="000000" w:sz="6" w:space="0"/>
              <w:bottom w:val="single" w:color="000000" w:sz="6" w:space="0"/>
              <w:right w:val="single" w:color="000000" w:sz="6" w:space="0"/>
            </w:tcBorders>
            <w:tcMar>
              <w:top w:w="0" w:type="dxa"/>
              <w:left w:w="105" w:type="dxa"/>
              <w:bottom w:w="0" w:type="dxa"/>
              <w:right w:w="105" w:type="dxa"/>
            </w:tcMar>
            <w:vAlign w:val="center"/>
          </w:tcPr>
          <w:p>
            <w:pPr>
              <w:keepNext w:val="0"/>
              <w:keepLines w:val="0"/>
              <w:widowControl/>
              <w:suppressLineNumbers w:val="0"/>
              <w:spacing w:before="0" w:beforeAutospacing="0" w:after="0" w:afterAutospacing="0" w:line="500" w:lineRule="exact"/>
              <w:ind w:left="0" w:right="0"/>
              <w:jc w:val="left"/>
              <w:rPr>
                <w:rFonts w:hint="default" w:ascii="宋体" w:hAnsi="宋体" w:cs="宋体"/>
                <w:color w:val="auto"/>
                <w:kern w:val="0"/>
                <w:szCs w:val="21"/>
                <w:highlight w:val="none"/>
              </w:rPr>
            </w:pPr>
            <w:r>
              <w:rPr>
                <w:rFonts w:hint="eastAsia" w:ascii="宋体" w:hAnsi="宋体" w:cs="宋体"/>
                <w:color w:val="auto"/>
                <w:kern w:val="0"/>
                <w:szCs w:val="21"/>
                <w:highlight w:val="none"/>
              </w:rPr>
              <w:t>3.2.1</w:t>
            </w:r>
          </w:p>
        </w:tc>
        <w:tc>
          <w:tcPr>
            <w:tcW w:w="8320" w:type="dxa"/>
            <w:tcBorders>
              <w:top w:val="single" w:color="000000" w:sz="6" w:space="0"/>
              <w:left w:val="single" w:color="000000" w:sz="6" w:space="0"/>
              <w:bottom w:val="single" w:color="000000" w:sz="6" w:space="0"/>
              <w:right w:val="single" w:color="000000" w:sz="6" w:space="0"/>
            </w:tcBorders>
            <w:tcMar>
              <w:top w:w="0" w:type="dxa"/>
              <w:left w:w="105" w:type="dxa"/>
              <w:bottom w:w="0" w:type="dxa"/>
              <w:right w:w="105" w:type="dxa"/>
            </w:tcMar>
            <w:vAlign w:val="center"/>
          </w:tcPr>
          <w:p>
            <w:pPr>
              <w:keepNext w:val="0"/>
              <w:keepLines w:val="0"/>
              <w:widowControl/>
              <w:suppressLineNumbers w:val="0"/>
              <w:spacing w:before="0" w:beforeAutospacing="0" w:after="0" w:afterAutospacing="0" w:line="500" w:lineRule="exact"/>
              <w:ind w:left="0" w:right="0"/>
              <w:jc w:val="left"/>
              <w:rPr>
                <w:rFonts w:hint="default" w:ascii="宋体" w:hAnsi="宋体" w:cs="宋体"/>
                <w:color w:val="auto"/>
                <w:kern w:val="0"/>
                <w:szCs w:val="21"/>
                <w:highlight w:val="none"/>
              </w:rPr>
            </w:pPr>
            <w:r>
              <w:rPr>
                <w:rFonts w:hint="eastAsia" w:ascii="宋体" w:hAnsi="宋体" w:cs="宋体"/>
                <w:b/>
                <w:bCs/>
                <w:color w:val="auto"/>
                <w:kern w:val="0"/>
                <w:szCs w:val="21"/>
                <w:highlight w:val="none"/>
              </w:rPr>
              <w:t>供应商的资格要求</w:t>
            </w:r>
            <w:r>
              <w:rPr>
                <w:rFonts w:hint="eastAsia" w:ascii="宋体" w:hAnsi="宋体" w:cs="宋体"/>
                <w:color w:val="auto"/>
                <w:kern w:val="0"/>
                <w:szCs w:val="21"/>
                <w:highlight w:val="none"/>
              </w:rPr>
              <w:t>：见磋商文件第一章“采购公告/采购邀请书”</w:t>
            </w:r>
          </w:p>
          <w:p>
            <w:pPr>
              <w:keepNext w:val="0"/>
              <w:keepLines w:val="0"/>
              <w:widowControl/>
              <w:suppressLineNumbers w:val="0"/>
              <w:spacing w:before="0" w:beforeAutospacing="0" w:after="0" w:afterAutospacing="0" w:line="500" w:lineRule="exact"/>
              <w:ind w:left="0" w:right="0"/>
              <w:jc w:val="left"/>
              <w:rPr>
                <w:rFonts w:hint="default" w:ascii="宋体" w:hAnsi="宋体" w:cs="宋体"/>
                <w:color w:val="auto"/>
                <w:kern w:val="0"/>
                <w:szCs w:val="21"/>
                <w:highlight w:val="none"/>
              </w:rPr>
            </w:pPr>
            <w:r>
              <w:rPr>
                <w:rFonts w:hint="eastAsia" w:ascii="宋体" w:hAnsi="宋体" w:cs="宋体"/>
                <w:color w:val="auto"/>
                <w:kern w:val="0"/>
                <w:szCs w:val="21"/>
                <w:highlight w:val="none"/>
              </w:rPr>
              <w:t>资格证明文件资料要求：</w:t>
            </w:r>
          </w:p>
          <w:tbl>
            <w:tblPr>
              <w:tblStyle w:val="15"/>
              <w:tblW w:w="8084" w:type="dxa"/>
              <w:tblCellSpacing w:w="0" w:type="dxa"/>
              <w:tblInd w:w="1" w:type="dxa"/>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0" w:type="dxa"/>
                <w:left w:w="0" w:type="dxa"/>
                <w:bottom w:w="0" w:type="dxa"/>
                <w:right w:w="0" w:type="dxa"/>
              </w:tblCellMar>
            </w:tblPr>
            <w:tblGrid>
              <w:gridCol w:w="1881"/>
              <w:gridCol w:w="6203"/>
            </w:tblGrid>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471" w:hRule="atLeast"/>
                <w:tblHeader/>
                <w:tblCellSpacing w:w="0" w:type="dxa"/>
              </w:trPr>
              <w:tc>
                <w:tcPr>
                  <w:tcW w:w="1881" w:type="dxa"/>
                  <w:tcBorders>
                    <w:top w:val="outset" w:color="auto" w:sz="6" w:space="0"/>
                    <w:left w:val="outset" w:color="auto" w:sz="6" w:space="0"/>
                    <w:bottom w:val="outset" w:color="auto" w:sz="6" w:space="0"/>
                    <w:right w:val="outset" w:color="auto" w:sz="6" w:space="0"/>
                  </w:tcBorders>
                  <w:vAlign w:val="center"/>
                </w:tcPr>
                <w:p>
                  <w:pPr>
                    <w:keepNext w:val="0"/>
                    <w:keepLines w:val="0"/>
                    <w:widowControl/>
                    <w:suppressLineNumbers w:val="0"/>
                    <w:spacing w:before="0" w:beforeAutospacing="0" w:after="0" w:afterAutospacing="0" w:line="500" w:lineRule="exact"/>
                    <w:ind w:left="0" w:right="0"/>
                    <w:jc w:val="center"/>
                    <w:rPr>
                      <w:rFonts w:hint="default" w:ascii="宋体" w:hAnsi="宋体" w:cs="宋体"/>
                      <w:b/>
                      <w:bCs/>
                      <w:color w:val="auto"/>
                      <w:kern w:val="0"/>
                      <w:szCs w:val="21"/>
                      <w:highlight w:val="none"/>
                    </w:rPr>
                  </w:pPr>
                  <w:r>
                    <w:rPr>
                      <w:rFonts w:hint="eastAsia" w:ascii="宋体" w:hAnsi="宋体" w:cs="宋体"/>
                      <w:b/>
                      <w:bCs/>
                      <w:color w:val="auto"/>
                      <w:kern w:val="0"/>
                      <w:szCs w:val="21"/>
                      <w:highlight w:val="none"/>
                    </w:rPr>
                    <w:t>明细</w:t>
                  </w:r>
                </w:p>
              </w:tc>
              <w:tc>
                <w:tcPr>
                  <w:tcW w:w="6203" w:type="dxa"/>
                  <w:tcBorders>
                    <w:top w:val="outset" w:color="auto" w:sz="6" w:space="0"/>
                    <w:left w:val="outset" w:color="auto" w:sz="6" w:space="0"/>
                    <w:bottom w:val="outset" w:color="auto" w:sz="6" w:space="0"/>
                    <w:right w:val="outset" w:color="auto" w:sz="6" w:space="0"/>
                  </w:tcBorders>
                  <w:vAlign w:val="center"/>
                </w:tcPr>
                <w:p>
                  <w:pPr>
                    <w:keepNext w:val="0"/>
                    <w:keepLines w:val="0"/>
                    <w:widowControl/>
                    <w:suppressLineNumbers w:val="0"/>
                    <w:spacing w:before="0" w:beforeAutospacing="0" w:after="0" w:afterAutospacing="0" w:line="500" w:lineRule="exact"/>
                    <w:ind w:left="0" w:right="0"/>
                    <w:jc w:val="center"/>
                    <w:rPr>
                      <w:rFonts w:hint="default" w:ascii="宋体" w:hAnsi="宋体" w:cs="宋体"/>
                      <w:b/>
                      <w:bCs/>
                      <w:color w:val="auto"/>
                      <w:kern w:val="0"/>
                      <w:szCs w:val="21"/>
                      <w:highlight w:val="none"/>
                    </w:rPr>
                  </w:pPr>
                  <w:r>
                    <w:rPr>
                      <w:rFonts w:hint="eastAsia" w:ascii="宋体" w:hAnsi="宋体" w:cs="宋体"/>
                      <w:b/>
                      <w:bCs/>
                      <w:color w:val="auto"/>
                      <w:kern w:val="0"/>
                      <w:szCs w:val="21"/>
                      <w:highlight w:val="none"/>
                    </w:rPr>
                    <w:t>描述</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447" w:hRule="atLeast"/>
                <w:tblCellSpacing w:w="0" w:type="dxa"/>
              </w:trPr>
              <w:tc>
                <w:tcPr>
                  <w:tcW w:w="1881" w:type="dxa"/>
                  <w:tcBorders>
                    <w:top w:val="outset" w:color="auto" w:sz="6" w:space="0"/>
                    <w:left w:val="outset" w:color="auto" w:sz="6" w:space="0"/>
                    <w:bottom w:val="outset" w:color="auto" w:sz="6" w:space="0"/>
                    <w:right w:val="outset" w:color="auto" w:sz="6" w:space="0"/>
                  </w:tcBorders>
                  <w:vAlign w:val="center"/>
                </w:tcPr>
                <w:p>
                  <w:pPr>
                    <w:keepNext w:val="0"/>
                    <w:keepLines w:val="0"/>
                    <w:widowControl/>
                    <w:suppressLineNumbers w:val="0"/>
                    <w:spacing w:before="0" w:beforeAutospacing="0" w:after="0" w:afterAutospacing="0" w:line="500" w:lineRule="exact"/>
                    <w:ind w:left="0" w:right="0"/>
                    <w:jc w:val="left"/>
                    <w:rPr>
                      <w:rFonts w:hint="default" w:ascii="宋体" w:hAnsi="宋体" w:cs="宋体"/>
                      <w:color w:val="auto"/>
                      <w:kern w:val="0"/>
                      <w:szCs w:val="21"/>
                      <w:highlight w:val="none"/>
                    </w:rPr>
                  </w:pPr>
                  <w:r>
                    <w:rPr>
                      <w:rFonts w:hint="eastAsia" w:ascii="宋体" w:hAnsi="宋体" w:cs="宋体"/>
                      <w:color w:val="auto"/>
                      <w:kern w:val="0"/>
                      <w:szCs w:val="21"/>
                      <w:highlight w:val="none"/>
                    </w:rPr>
                    <w:t>a1投标（响应）函</w:t>
                  </w:r>
                </w:p>
              </w:tc>
              <w:tc>
                <w:tcPr>
                  <w:tcW w:w="6203" w:type="dxa"/>
                  <w:tcBorders>
                    <w:top w:val="outset" w:color="auto" w:sz="6" w:space="0"/>
                    <w:left w:val="outset" w:color="auto" w:sz="6" w:space="0"/>
                    <w:bottom w:val="outset" w:color="auto" w:sz="6" w:space="0"/>
                    <w:right w:val="outset" w:color="auto" w:sz="6" w:space="0"/>
                  </w:tcBorders>
                  <w:vAlign w:val="center"/>
                </w:tcPr>
                <w:p>
                  <w:pPr>
                    <w:keepNext w:val="0"/>
                    <w:keepLines w:val="0"/>
                    <w:widowControl/>
                    <w:suppressLineNumbers w:val="0"/>
                    <w:spacing w:before="0" w:beforeAutospacing="0" w:after="0" w:afterAutospacing="0" w:line="500" w:lineRule="exact"/>
                    <w:ind w:left="0" w:right="0"/>
                    <w:jc w:val="left"/>
                    <w:rPr>
                      <w:rFonts w:hint="default" w:ascii="宋体" w:hAnsi="宋体" w:cs="宋体"/>
                      <w:color w:val="auto"/>
                      <w:kern w:val="0"/>
                      <w:szCs w:val="21"/>
                      <w:highlight w:val="none"/>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828" w:hRule="atLeast"/>
                <w:tblCellSpacing w:w="0" w:type="dxa"/>
              </w:trPr>
              <w:tc>
                <w:tcPr>
                  <w:tcW w:w="1881" w:type="dxa"/>
                  <w:tcBorders>
                    <w:top w:val="outset" w:color="auto" w:sz="6" w:space="0"/>
                    <w:left w:val="outset" w:color="auto" w:sz="6" w:space="0"/>
                    <w:bottom w:val="outset" w:color="auto" w:sz="6" w:space="0"/>
                    <w:right w:val="outset" w:color="auto" w:sz="6" w:space="0"/>
                  </w:tcBorders>
                  <w:vAlign w:val="center"/>
                </w:tcPr>
                <w:p>
                  <w:pPr>
                    <w:keepNext w:val="0"/>
                    <w:keepLines w:val="0"/>
                    <w:widowControl/>
                    <w:suppressLineNumbers w:val="0"/>
                    <w:spacing w:before="0" w:beforeAutospacing="0" w:after="0" w:afterAutospacing="0" w:line="500" w:lineRule="exact"/>
                    <w:ind w:left="0" w:right="0"/>
                    <w:jc w:val="left"/>
                    <w:rPr>
                      <w:rFonts w:hint="default" w:ascii="宋体" w:hAnsi="宋体" w:cs="宋体"/>
                      <w:color w:val="auto"/>
                      <w:kern w:val="0"/>
                      <w:szCs w:val="21"/>
                      <w:highlight w:val="none"/>
                    </w:rPr>
                  </w:pPr>
                  <w:r>
                    <w:rPr>
                      <w:rFonts w:hint="eastAsia" w:ascii="宋体" w:hAnsi="宋体" w:cs="宋体"/>
                      <w:color w:val="auto"/>
                      <w:kern w:val="0"/>
                      <w:szCs w:val="21"/>
                      <w:highlight w:val="none"/>
                    </w:rPr>
                    <w:t>a2单位负责人授权书</w:t>
                  </w:r>
                </w:p>
              </w:tc>
              <w:tc>
                <w:tcPr>
                  <w:tcW w:w="6203" w:type="dxa"/>
                  <w:tcBorders>
                    <w:top w:val="outset" w:color="auto" w:sz="6" w:space="0"/>
                    <w:left w:val="outset" w:color="auto" w:sz="6" w:space="0"/>
                    <w:bottom w:val="outset" w:color="auto" w:sz="6" w:space="0"/>
                    <w:right w:val="outset" w:color="auto" w:sz="6" w:space="0"/>
                  </w:tcBorders>
                  <w:vAlign w:val="center"/>
                </w:tcPr>
                <w:p>
                  <w:pPr>
                    <w:keepNext w:val="0"/>
                    <w:keepLines w:val="0"/>
                    <w:widowControl/>
                    <w:suppressLineNumbers w:val="0"/>
                    <w:spacing w:before="0" w:beforeAutospacing="0" w:after="0" w:afterAutospacing="0" w:line="500" w:lineRule="exact"/>
                    <w:ind w:left="0" w:right="0"/>
                    <w:jc w:val="left"/>
                    <w:rPr>
                      <w:rFonts w:hint="default" w:ascii="宋体" w:hAnsi="宋体" w:cs="宋体"/>
                      <w:color w:val="auto"/>
                      <w:kern w:val="0"/>
                      <w:szCs w:val="21"/>
                      <w:highlight w:val="none"/>
                    </w:rPr>
                  </w:pPr>
                  <w:r>
                    <w:rPr>
                      <w:rFonts w:hint="eastAsia" w:ascii="宋体" w:hAnsi="宋体" w:cs="宋体"/>
                      <w:color w:val="auto"/>
                      <w:kern w:val="0"/>
                      <w:szCs w:val="21"/>
                      <w:highlight w:val="none"/>
                    </w:rPr>
                    <w:t>1、企业（银行、保险、石油石化、电力、电信等行业除外）、事业单位和社会团体法人的“单位负责人”指法定代表人，即与实际提交的“营业执照等证明文件”载明的一致。2、银行、保险、石油石化、电力、电信等行业：以法人身份参加投标的，“单位负责人”指法定代表人，即与实际提交的“营业执照等证明文件”载明的一致；以非法人身份参加投标的，“单位负责人”指代表单位行使职权的主要负责人，即与实际提交的“营业执照等证明文件”载明的一致。3、供应商（自然人除外）：若供应商代表为单位负责人授权的委托代理人，应提供本授权书；若供应商代表为单位负责人，应在此项下提交其身份证正反面复印件，可不提供本授权书。4、供应商为自然人的，可不填写本授权书。5、纸质响应文件正本中的本授权书（若有）应为原件。电子响应文件中的本授权书（若有）应为原件的扫描件。</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2034" w:hRule="atLeast"/>
                <w:tblCellSpacing w:w="0" w:type="dxa"/>
              </w:trPr>
              <w:tc>
                <w:tcPr>
                  <w:tcW w:w="1881" w:type="dxa"/>
                  <w:tcBorders>
                    <w:top w:val="outset" w:color="auto" w:sz="6" w:space="0"/>
                    <w:left w:val="outset" w:color="auto" w:sz="6" w:space="0"/>
                    <w:bottom w:val="outset" w:color="auto" w:sz="6" w:space="0"/>
                    <w:right w:val="outset" w:color="auto" w:sz="6" w:space="0"/>
                  </w:tcBorders>
                  <w:vAlign w:val="center"/>
                </w:tcPr>
                <w:p>
                  <w:pPr>
                    <w:keepNext w:val="0"/>
                    <w:keepLines w:val="0"/>
                    <w:widowControl/>
                    <w:suppressLineNumbers w:val="0"/>
                    <w:spacing w:before="0" w:beforeAutospacing="0" w:after="0" w:afterAutospacing="0" w:line="500" w:lineRule="exact"/>
                    <w:ind w:left="0" w:right="0"/>
                    <w:jc w:val="left"/>
                    <w:rPr>
                      <w:rFonts w:hint="default" w:ascii="宋体" w:hAnsi="宋体" w:cs="宋体"/>
                      <w:color w:val="auto"/>
                      <w:kern w:val="0"/>
                      <w:szCs w:val="21"/>
                      <w:highlight w:val="none"/>
                    </w:rPr>
                  </w:pPr>
                  <w:r>
                    <w:rPr>
                      <w:rFonts w:hint="eastAsia" w:ascii="宋体" w:hAnsi="宋体" w:cs="宋体"/>
                      <w:color w:val="auto"/>
                      <w:kern w:val="0"/>
                      <w:szCs w:val="21"/>
                      <w:highlight w:val="none"/>
                    </w:rPr>
                    <w:t>a3法人或者其他组织的营业执照等证明文件，自然人的身份证明</w:t>
                  </w:r>
                </w:p>
              </w:tc>
              <w:tc>
                <w:tcPr>
                  <w:tcW w:w="6203" w:type="dxa"/>
                  <w:tcBorders>
                    <w:top w:val="outset" w:color="auto" w:sz="6" w:space="0"/>
                    <w:left w:val="outset" w:color="auto" w:sz="6" w:space="0"/>
                    <w:bottom w:val="outset" w:color="auto" w:sz="6" w:space="0"/>
                    <w:right w:val="outset" w:color="auto" w:sz="6" w:space="0"/>
                  </w:tcBorders>
                  <w:vAlign w:val="center"/>
                </w:tcPr>
                <w:p>
                  <w:pPr>
                    <w:keepNext w:val="0"/>
                    <w:keepLines w:val="0"/>
                    <w:suppressLineNumbers w:val="0"/>
                    <w:spacing w:before="0" w:beforeAutospacing="0" w:after="0" w:afterAutospacing="0" w:line="500" w:lineRule="exact"/>
                    <w:ind w:left="0" w:right="0"/>
                    <w:rPr>
                      <w:rFonts w:hint="default" w:ascii="宋体" w:hAnsi="宋体" w:cs="宋体"/>
                      <w:color w:val="auto"/>
                      <w:kern w:val="0"/>
                      <w:szCs w:val="21"/>
                      <w:highlight w:val="none"/>
                    </w:rPr>
                  </w:pPr>
                  <w:r>
                    <w:rPr>
                      <w:rFonts w:hint="eastAsia" w:ascii="宋体" w:hAnsi="宋体" w:cs="宋体"/>
                      <w:color w:val="auto"/>
                      <w:kern w:val="0"/>
                      <w:szCs w:val="21"/>
                      <w:highlight w:val="none"/>
                      <w:lang w:bidi="ar"/>
                    </w:rPr>
                    <w:t>供应商是企业或个体工商户的，则提供工商部门注册的有效的营业执照复印件；供应商是事业单位的，则提供有效的“事业单位法人证书”复印件；供应商是非企业专业服务机构的，则提供执业许可等证明材料；供应商是自然人的，则提供自然人的身份证明复印件。</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2034" w:hRule="atLeast"/>
                <w:tblCellSpacing w:w="0" w:type="dxa"/>
              </w:trPr>
              <w:tc>
                <w:tcPr>
                  <w:tcW w:w="1881" w:type="dxa"/>
                  <w:tcBorders>
                    <w:top w:val="outset" w:color="auto" w:sz="6" w:space="0"/>
                    <w:left w:val="outset" w:color="auto" w:sz="6" w:space="0"/>
                    <w:bottom w:val="outset" w:color="auto" w:sz="6" w:space="0"/>
                    <w:right w:val="outset" w:color="auto" w:sz="6" w:space="0"/>
                  </w:tcBorders>
                  <w:vAlign w:val="center"/>
                </w:tcPr>
                <w:p>
                  <w:pPr>
                    <w:keepNext w:val="0"/>
                    <w:keepLines w:val="0"/>
                    <w:widowControl/>
                    <w:suppressLineNumbers w:val="0"/>
                    <w:spacing w:before="0" w:beforeAutospacing="0" w:after="0" w:afterAutospacing="0" w:line="500" w:lineRule="exact"/>
                    <w:ind w:left="0" w:right="0"/>
                    <w:jc w:val="left"/>
                    <w:rPr>
                      <w:rFonts w:hint="default" w:ascii="宋体" w:hAnsi="宋体" w:cs="宋体"/>
                      <w:color w:val="auto"/>
                      <w:kern w:val="0"/>
                      <w:szCs w:val="21"/>
                      <w:highlight w:val="none"/>
                    </w:rPr>
                  </w:pPr>
                  <w:r>
                    <w:rPr>
                      <w:rFonts w:hint="eastAsia" w:ascii="宋体" w:hAnsi="宋体" w:cs="宋体"/>
                      <w:color w:val="auto"/>
                      <w:kern w:val="0"/>
                      <w:szCs w:val="21"/>
                      <w:highlight w:val="none"/>
                    </w:rPr>
                    <w:t>a4财务状况报告</w:t>
                  </w:r>
                </w:p>
              </w:tc>
              <w:tc>
                <w:tcPr>
                  <w:tcW w:w="6203" w:type="dxa"/>
                  <w:tcBorders>
                    <w:top w:val="outset" w:color="auto" w:sz="6" w:space="0"/>
                    <w:left w:val="outset" w:color="auto" w:sz="6" w:space="0"/>
                    <w:bottom w:val="outset" w:color="auto" w:sz="6" w:space="0"/>
                    <w:right w:val="outset" w:color="auto" w:sz="6" w:space="0"/>
                  </w:tcBorders>
                  <w:vAlign w:val="center"/>
                </w:tcPr>
                <w:p>
                  <w:pPr>
                    <w:keepNext w:val="0"/>
                    <w:keepLines w:val="0"/>
                    <w:suppressLineNumbers w:val="0"/>
                    <w:spacing w:before="0" w:beforeAutospacing="0" w:after="0" w:afterAutospacing="0" w:line="500" w:lineRule="exact"/>
                    <w:ind w:left="0" w:right="0"/>
                    <w:rPr>
                      <w:rFonts w:hint="default"/>
                      <w:color w:val="auto"/>
                      <w:highlight w:val="none"/>
                    </w:rPr>
                  </w:pPr>
                  <w:r>
                    <w:rPr>
                      <w:rFonts w:hint="eastAsia"/>
                      <w:color w:val="auto"/>
                      <w:highlight w:val="none"/>
                    </w:rPr>
                    <w:t>提供会计师事务所出具的</w:t>
                  </w:r>
                  <w:r>
                    <w:rPr>
                      <w:rFonts w:hint="eastAsia"/>
                      <w:color w:val="auto"/>
                      <w:highlight w:val="none"/>
                      <w:lang w:val="en-US" w:eastAsia="zh-CN"/>
                    </w:rPr>
                    <w:t>2021年度或2022年度</w:t>
                  </w:r>
                  <w:r>
                    <w:rPr>
                      <w:rFonts w:hint="eastAsia"/>
                      <w:color w:val="auto"/>
                      <w:highlight w:val="none"/>
                    </w:rPr>
                    <w:t>或上一季度财务审计报告，至少包括“资产负债表、利润表、现金流量表”；或者提供投标（磋商）截止时间前六个月内基本开户银行出具的资信证明；或者提供财政部门认可的政府采购专业担保机构出具的投标（磋商）担保函。</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1266" w:hRule="atLeast"/>
                <w:tblCellSpacing w:w="0" w:type="dxa"/>
              </w:trPr>
              <w:tc>
                <w:tcPr>
                  <w:tcW w:w="1881" w:type="dxa"/>
                  <w:tcBorders>
                    <w:top w:val="outset" w:color="auto" w:sz="6" w:space="0"/>
                    <w:left w:val="outset" w:color="auto" w:sz="6" w:space="0"/>
                    <w:bottom w:val="outset" w:color="auto" w:sz="6" w:space="0"/>
                    <w:right w:val="outset" w:color="auto" w:sz="6" w:space="0"/>
                  </w:tcBorders>
                  <w:vAlign w:val="center"/>
                </w:tcPr>
                <w:p>
                  <w:pPr>
                    <w:keepNext w:val="0"/>
                    <w:keepLines w:val="0"/>
                    <w:widowControl/>
                    <w:suppressLineNumbers w:val="0"/>
                    <w:spacing w:before="0" w:beforeAutospacing="0" w:after="0" w:afterAutospacing="0" w:line="500" w:lineRule="exact"/>
                    <w:ind w:left="0" w:right="0"/>
                    <w:jc w:val="left"/>
                    <w:rPr>
                      <w:rFonts w:hint="default" w:ascii="宋体" w:hAnsi="宋体" w:cs="宋体"/>
                      <w:color w:val="auto"/>
                      <w:kern w:val="0"/>
                      <w:szCs w:val="21"/>
                      <w:highlight w:val="none"/>
                    </w:rPr>
                  </w:pPr>
                  <w:r>
                    <w:rPr>
                      <w:rFonts w:hint="eastAsia" w:ascii="宋体" w:hAnsi="宋体" w:cs="宋体"/>
                      <w:color w:val="auto"/>
                      <w:kern w:val="0"/>
                      <w:szCs w:val="21"/>
                      <w:highlight w:val="none"/>
                    </w:rPr>
                    <w:t>a5依法缴纳税收的相关材料</w:t>
                  </w:r>
                </w:p>
              </w:tc>
              <w:tc>
                <w:tcPr>
                  <w:tcW w:w="6203" w:type="dxa"/>
                  <w:tcBorders>
                    <w:top w:val="outset" w:color="auto" w:sz="6" w:space="0"/>
                    <w:left w:val="outset" w:color="auto" w:sz="6" w:space="0"/>
                    <w:bottom w:val="outset" w:color="auto" w:sz="6" w:space="0"/>
                    <w:right w:val="outset" w:color="auto" w:sz="6" w:space="0"/>
                  </w:tcBorders>
                  <w:vAlign w:val="center"/>
                </w:tcPr>
                <w:p>
                  <w:pPr>
                    <w:keepNext w:val="0"/>
                    <w:keepLines w:val="0"/>
                    <w:suppressLineNumbers w:val="0"/>
                    <w:spacing w:before="0" w:beforeAutospacing="0" w:after="0" w:afterAutospacing="0" w:line="500" w:lineRule="exact"/>
                    <w:ind w:left="0" w:right="0"/>
                    <w:rPr>
                      <w:rFonts w:hint="default" w:ascii="宋体" w:hAnsi="宋体" w:cs="宋体"/>
                      <w:color w:val="auto"/>
                      <w:kern w:val="0"/>
                      <w:szCs w:val="21"/>
                      <w:highlight w:val="none"/>
                    </w:rPr>
                  </w:pPr>
                  <w:r>
                    <w:rPr>
                      <w:rFonts w:hint="eastAsia" w:ascii="宋体" w:hAnsi="宋体" w:cs="宋体"/>
                      <w:color w:val="auto"/>
                      <w:kern w:val="0"/>
                      <w:szCs w:val="21"/>
                      <w:highlight w:val="none"/>
                      <w:lang w:bidi="ar"/>
                    </w:rPr>
                    <w:t>提供投标（磋商响应）截止时间前六个月任一个月的依法缴纳税收的凭据；或者提供依法免税的相应证明文件。</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90" w:hRule="atLeast"/>
                <w:tblCellSpacing w:w="0" w:type="dxa"/>
              </w:trPr>
              <w:tc>
                <w:tcPr>
                  <w:tcW w:w="1881" w:type="dxa"/>
                  <w:tcBorders>
                    <w:top w:val="outset" w:color="auto" w:sz="6" w:space="0"/>
                    <w:left w:val="outset" w:color="auto" w:sz="6" w:space="0"/>
                    <w:bottom w:val="outset" w:color="auto" w:sz="6" w:space="0"/>
                    <w:right w:val="outset" w:color="auto" w:sz="6" w:space="0"/>
                  </w:tcBorders>
                  <w:vAlign w:val="center"/>
                </w:tcPr>
                <w:p>
                  <w:pPr>
                    <w:keepNext w:val="0"/>
                    <w:keepLines w:val="0"/>
                    <w:widowControl/>
                    <w:suppressLineNumbers w:val="0"/>
                    <w:spacing w:before="0" w:beforeAutospacing="0" w:after="0" w:afterAutospacing="0" w:line="500" w:lineRule="exact"/>
                    <w:ind w:left="0" w:right="0"/>
                    <w:jc w:val="left"/>
                    <w:rPr>
                      <w:rFonts w:hint="default" w:ascii="宋体" w:hAnsi="宋体" w:cs="宋体"/>
                      <w:color w:val="auto"/>
                      <w:kern w:val="0"/>
                      <w:szCs w:val="21"/>
                      <w:highlight w:val="none"/>
                    </w:rPr>
                  </w:pPr>
                  <w:r>
                    <w:rPr>
                      <w:rFonts w:hint="eastAsia" w:ascii="宋体" w:hAnsi="宋体" w:cs="宋体"/>
                      <w:color w:val="auto"/>
                      <w:kern w:val="0"/>
                      <w:szCs w:val="21"/>
                      <w:highlight w:val="none"/>
                    </w:rPr>
                    <w:t>a6依法缴纳社会保障资金的相关材料</w:t>
                  </w:r>
                </w:p>
              </w:tc>
              <w:tc>
                <w:tcPr>
                  <w:tcW w:w="6203" w:type="dxa"/>
                  <w:tcBorders>
                    <w:top w:val="outset" w:color="auto" w:sz="6" w:space="0"/>
                    <w:left w:val="outset" w:color="auto" w:sz="6" w:space="0"/>
                    <w:bottom w:val="outset" w:color="auto" w:sz="6" w:space="0"/>
                    <w:right w:val="outset" w:color="auto" w:sz="6" w:space="0"/>
                  </w:tcBorders>
                  <w:vAlign w:val="center"/>
                </w:tcPr>
                <w:p>
                  <w:pPr>
                    <w:keepNext w:val="0"/>
                    <w:keepLines w:val="0"/>
                    <w:suppressLineNumbers w:val="0"/>
                    <w:spacing w:before="0" w:beforeAutospacing="0" w:after="0" w:afterAutospacing="0" w:line="500" w:lineRule="exact"/>
                    <w:ind w:left="0" w:right="0"/>
                    <w:rPr>
                      <w:rFonts w:hint="default" w:ascii="宋体" w:hAnsi="宋体" w:cs="宋体"/>
                      <w:color w:val="auto"/>
                      <w:kern w:val="0"/>
                      <w:szCs w:val="21"/>
                      <w:highlight w:val="none"/>
                    </w:rPr>
                  </w:pPr>
                  <w:r>
                    <w:rPr>
                      <w:rFonts w:hint="eastAsia" w:ascii="宋体" w:hAnsi="宋体" w:cs="宋体"/>
                      <w:color w:val="auto"/>
                      <w:kern w:val="0"/>
                      <w:szCs w:val="21"/>
                      <w:highlight w:val="none"/>
                      <w:lang w:bidi="ar"/>
                    </w:rPr>
                    <w:t>提供投标（磋商响应）截止时间前六个月任一个月的依法缴纳社会保障资金的凭据；或者提供依法不需要缴纳社会保障资金的相应证明文件。</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2034" w:hRule="atLeast"/>
                <w:tblCellSpacing w:w="0" w:type="dxa"/>
              </w:trPr>
              <w:tc>
                <w:tcPr>
                  <w:tcW w:w="1881" w:type="dxa"/>
                  <w:tcBorders>
                    <w:top w:val="outset" w:color="auto" w:sz="6" w:space="0"/>
                    <w:left w:val="outset" w:color="auto" w:sz="6" w:space="0"/>
                    <w:bottom w:val="outset" w:color="auto" w:sz="6" w:space="0"/>
                    <w:right w:val="outset" w:color="auto" w:sz="6" w:space="0"/>
                  </w:tcBorders>
                  <w:vAlign w:val="center"/>
                </w:tcPr>
                <w:p>
                  <w:pPr>
                    <w:keepNext w:val="0"/>
                    <w:keepLines w:val="0"/>
                    <w:widowControl/>
                    <w:suppressLineNumbers w:val="0"/>
                    <w:spacing w:before="0" w:beforeAutospacing="0" w:after="0" w:afterAutospacing="0" w:line="500" w:lineRule="exact"/>
                    <w:ind w:left="0" w:right="0"/>
                    <w:jc w:val="left"/>
                    <w:rPr>
                      <w:rFonts w:hint="default" w:ascii="宋体" w:hAnsi="宋体" w:cs="宋体"/>
                      <w:color w:val="auto"/>
                      <w:kern w:val="0"/>
                      <w:szCs w:val="21"/>
                      <w:highlight w:val="none"/>
                    </w:rPr>
                  </w:pPr>
                  <w:r>
                    <w:rPr>
                      <w:rFonts w:hint="eastAsia" w:ascii="宋体" w:hAnsi="宋体" w:cs="宋体"/>
                      <w:color w:val="auto"/>
                      <w:kern w:val="0"/>
                      <w:szCs w:val="21"/>
                      <w:highlight w:val="none"/>
                    </w:rPr>
                    <w:t>a7具备履行合同所必需的设备（场所）和专业技术能力的材料</w:t>
                  </w:r>
                </w:p>
              </w:tc>
              <w:tc>
                <w:tcPr>
                  <w:tcW w:w="6203" w:type="dxa"/>
                  <w:tcBorders>
                    <w:top w:val="outset" w:color="auto" w:sz="6" w:space="0"/>
                    <w:left w:val="outset" w:color="auto" w:sz="6" w:space="0"/>
                    <w:bottom w:val="outset" w:color="auto" w:sz="6" w:space="0"/>
                    <w:right w:val="outset" w:color="auto" w:sz="6" w:space="0"/>
                  </w:tcBorders>
                  <w:vAlign w:val="center"/>
                </w:tcPr>
                <w:p>
                  <w:pPr>
                    <w:keepNext w:val="0"/>
                    <w:keepLines w:val="0"/>
                    <w:suppressLineNumbers w:val="0"/>
                    <w:spacing w:before="0" w:beforeAutospacing="0" w:after="0" w:afterAutospacing="0" w:line="500" w:lineRule="exact"/>
                    <w:ind w:left="0" w:right="0"/>
                    <w:rPr>
                      <w:rFonts w:hint="default" w:ascii="宋体" w:hAnsi="宋体" w:cs="宋体"/>
                      <w:color w:val="auto"/>
                      <w:kern w:val="0"/>
                      <w:szCs w:val="21"/>
                      <w:highlight w:val="none"/>
                    </w:rPr>
                  </w:pPr>
                  <w:r>
                    <w:rPr>
                      <w:rFonts w:hint="eastAsia" w:ascii="宋体" w:hAnsi="宋体" w:cs="宋体"/>
                      <w:color w:val="auto"/>
                      <w:kern w:val="0"/>
                      <w:szCs w:val="21"/>
                      <w:highlight w:val="none"/>
                      <w:lang w:bidi="ar"/>
                    </w:rPr>
                    <w:t>1、供应商提供办公场所的场地证明材料（属于自有产权的提供产权证复印件；非自有产权的提供场地租赁合同复印件，租赁期限不少于一年）；2、具备专业技术能力：提供负责本项目的主要人员的名单、联系方式及相关学历证书或职称（或职业或作业或岗位或资质）证书。</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2436" w:hRule="atLeast"/>
                <w:tblCellSpacing w:w="0" w:type="dxa"/>
              </w:trPr>
              <w:tc>
                <w:tcPr>
                  <w:tcW w:w="1881" w:type="dxa"/>
                  <w:tcBorders>
                    <w:top w:val="outset" w:color="auto" w:sz="6" w:space="0"/>
                    <w:left w:val="outset" w:color="auto" w:sz="6" w:space="0"/>
                    <w:bottom w:val="outset" w:color="auto" w:sz="6" w:space="0"/>
                    <w:right w:val="outset" w:color="auto" w:sz="6" w:space="0"/>
                  </w:tcBorders>
                  <w:vAlign w:val="center"/>
                </w:tcPr>
                <w:p>
                  <w:pPr>
                    <w:keepNext w:val="0"/>
                    <w:keepLines w:val="0"/>
                    <w:widowControl/>
                    <w:suppressLineNumbers w:val="0"/>
                    <w:spacing w:before="0" w:beforeAutospacing="0" w:after="0" w:afterAutospacing="0" w:line="500" w:lineRule="exact"/>
                    <w:ind w:left="0" w:right="0"/>
                    <w:jc w:val="left"/>
                    <w:rPr>
                      <w:rFonts w:hint="default" w:ascii="宋体" w:hAnsi="宋体" w:cs="宋体"/>
                      <w:color w:val="auto"/>
                      <w:kern w:val="0"/>
                      <w:szCs w:val="21"/>
                      <w:highlight w:val="none"/>
                    </w:rPr>
                  </w:pPr>
                  <w:r>
                    <w:rPr>
                      <w:rFonts w:hint="eastAsia" w:ascii="宋体" w:hAnsi="宋体" w:cs="宋体"/>
                      <w:color w:val="auto"/>
                      <w:kern w:val="0"/>
                      <w:szCs w:val="21"/>
                      <w:highlight w:val="none"/>
                    </w:rPr>
                    <w:t>a8参加政府采购活动前3年内在经营活动中没有重大违法记录的书面声明</w:t>
                  </w:r>
                </w:p>
              </w:tc>
              <w:tc>
                <w:tcPr>
                  <w:tcW w:w="6203" w:type="dxa"/>
                  <w:tcBorders>
                    <w:top w:val="outset" w:color="auto" w:sz="6" w:space="0"/>
                    <w:left w:val="outset" w:color="auto" w:sz="6" w:space="0"/>
                    <w:bottom w:val="outset" w:color="auto" w:sz="6" w:space="0"/>
                    <w:right w:val="outset" w:color="auto" w:sz="6" w:space="0"/>
                  </w:tcBorders>
                  <w:vAlign w:val="center"/>
                </w:tcPr>
                <w:p>
                  <w:pPr>
                    <w:keepNext w:val="0"/>
                    <w:keepLines w:val="0"/>
                    <w:suppressLineNumbers w:val="0"/>
                    <w:spacing w:before="0" w:beforeAutospacing="0" w:after="0" w:afterAutospacing="0" w:line="500" w:lineRule="exact"/>
                    <w:ind w:left="0" w:right="0"/>
                    <w:rPr>
                      <w:rFonts w:hint="default" w:ascii="宋体" w:hAnsi="宋体" w:cs="宋体"/>
                      <w:color w:val="auto"/>
                      <w:kern w:val="0"/>
                      <w:szCs w:val="21"/>
                      <w:highlight w:val="none"/>
                    </w:rPr>
                  </w:pPr>
                  <w:r>
                    <w:rPr>
                      <w:rFonts w:hint="eastAsia" w:ascii="宋体" w:hAnsi="宋体" w:cs="宋体"/>
                      <w:color w:val="auto"/>
                      <w:kern w:val="0"/>
                      <w:szCs w:val="21"/>
                      <w:highlight w:val="none"/>
                      <w:lang w:bidi="ar"/>
                    </w:rPr>
                    <w:t>要求供应商参加采购活动前三年内在经营活动中没有重大违法记录：1、“重大违法记录”指报价供应商因违法经营受到刑事处罚或责令停产停业、吊销许可证或执照、较大数额罚款等行政处罚。2、无法提供有效期内检察机关行贿犯罪档案查询结果告知函的，也应对近三年无行贿犯罪记录进行声明。3、纸质响应文件正本中的本声明应为原件。※报价供应商应按照磋商文件第五章规定提供。</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4043" w:hRule="atLeast"/>
                <w:tblCellSpacing w:w="0" w:type="dxa"/>
              </w:trPr>
              <w:tc>
                <w:tcPr>
                  <w:tcW w:w="1881" w:type="dxa"/>
                  <w:tcBorders>
                    <w:top w:val="outset" w:color="auto" w:sz="6" w:space="0"/>
                    <w:left w:val="outset" w:color="auto" w:sz="6" w:space="0"/>
                    <w:bottom w:val="outset" w:color="auto" w:sz="6" w:space="0"/>
                    <w:right w:val="outset" w:color="auto" w:sz="6" w:space="0"/>
                  </w:tcBorders>
                  <w:vAlign w:val="center"/>
                </w:tcPr>
                <w:p>
                  <w:pPr>
                    <w:keepNext w:val="0"/>
                    <w:keepLines w:val="0"/>
                    <w:widowControl/>
                    <w:suppressLineNumbers w:val="0"/>
                    <w:spacing w:before="0" w:beforeAutospacing="0" w:after="0" w:afterAutospacing="0" w:line="500" w:lineRule="exact"/>
                    <w:ind w:left="0" w:right="0"/>
                    <w:jc w:val="left"/>
                    <w:rPr>
                      <w:rFonts w:hint="default" w:ascii="宋体" w:hAnsi="宋体" w:cs="宋体"/>
                      <w:color w:val="auto"/>
                      <w:kern w:val="0"/>
                      <w:szCs w:val="21"/>
                      <w:highlight w:val="none"/>
                    </w:rPr>
                  </w:pPr>
                  <w:r>
                    <w:rPr>
                      <w:rFonts w:hint="eastAsia" w:ascii="宋体" w:hAnsi="宋体" w:cs="宋体"/>
                      <w:color w:val="auto"/>
                      <w:kern w:val="0"/>
                      <w:szCs w:val="21"/>
                      <w:highlight w:val="none"/>
                    </w:rPr>
                    <w:t>a9检察机关行贿犯罪档案查询结果告知函(若有)</w:t>
                  </w:r>
                </w:p>
              </w:tc>
              <w:tc>
                <w:tcPr>
                  <w:tcW w:w="6203" w:type="dxa"/>
                  <w:tcBorders>
                    <w:top w:val="outset" w:color="auto" w:sz="6" w:space="0"/>
                    <w:left w:val="outset" w:color="auto" w:sz="6" w:space="0"/>
                    <w:bottom w:val="outset" w:color="auto" w:sz="6" w:space="0"/>
                    <w:right w:val="outset" w:color="auto" w:sz="6" w:space="0"/>
                  </w:tcBorders>
                  <w:vAlign w:val="center"/>
                </w:tcPr>
                <w:p>
                  <w:pPr>
                    <w:keepNext w:val="0"/>
                    <w:keepLines w:val="0"/>
                    <w:suppressLineNumbers w:val="0"/>
                    <w:spacing w:before="0" w:beforeAutospacing="0" w:after="0" w:afterAutospacing="0" w:line="500" w:lineRule="exact"/>
                    <w:ind w:left="0" w:right="0"/>
                    <w:rPr>
                      <w:rFonts w:hint="default" w:ascii="宋体" w:hAnsi="宋体" w:cs="宋体"/>
                      <w:color w:val="auto"/>
                      <w:kern w:val="0"/>
                      <w:szCs w:val="21"/>
                      <w:highlight w:val="none"/>
                    </w:rPr>
                  </w:pPr>
                  <w:r>
                    <w:rPr>
                      <w:rFonts w:hint="eastAsia" w:ascii="宋体" w:hAnsi="宋体" w:cs="宋体"/>
                      <w:color w:val="auto"/>
                      <w:kern w:val="0"/>
                      <w:szCs w:val="21"/>
                      <w:highlight w:val="none"/>
                      <w:lang w:bidi="ar"/>
                    </w:rPr>
                    <w:t>1、未提供行贿犯罪档案查询结果或查询结果表明报价供应商有行贿犯罪记录的，响应无效。2、无法提供有效期内检察机关行贿犯罪档案查询结果告知函的，也应对近三年无行贿犯罪记录进行声明。3、告知函应在有效期内且内容完整、清晰、整洁，否则响应无效。4、有效期内的告知函复印件（含扫描件）及符合竞争性磋商文件第五章规定的打印件（或截图），无论内容中是否注明“复印件无效”，均视同有效。5、无法获取有效期内检察机关行贿犯罪档案查询结果告知函的，应在a8《参加采购活动前三年内在经营活动中没有重大违法记录书面声明》中对近三年无行贿犯罪记录进行声明。※报价供应商应按照磋商文件第五章规定提供。</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844" w:hRule="atLeast"/>
                <w:tblCellSpacing w:w="0" w:type="dxa"/>
              </w:trPr>
              <w:tc>
                <w:tcPr>
                  <w:tcW w:w="1881" w:type="dxa"/>
                  <w:tcBorders>
                    <w:top w:val="outset" w:color="auto" w:sz="6" w:space="0"/>
                    <w:left w:val="outset" w:color="auto" w:sz="6" w:space="0"/>
                    <w:bottom w:val="outset" w:color="auto" w:sz="6" w:space="0"/>
                    <w:right w:val="outset" w:color="auto" w:sz="6" w:space="0"/>
                  </w:tcBorders>
                  <w:vAlign w:val="center"/>
                </w:tcPr>
                <w:p>
                  <w:pPr>
                    <w:keepNext w:val="0"/>
                    <w:keepLines w:val="0"/>
                    <w:widowControl/>
                    <w:suppressLineNumbers w:val="0"/>
                    <w:spacing w:before="0" w:beforeAutospacing="0" w:after="0" w:afterAutospacing="0" w:line="500" w:lineRule="exact"/>
                    <w:ind w:left="0" w:right="0"/>
                    <w:jc w:val="left"/>
                    <w:rPr>
                      <w:rFonts w:hint="default" w:ascii="宋体" w:hAnsi="宋体" w:cs="宋体"/>
                      <w:color w:val="auto"/>
                      <w:kern w:val="0"/>
                      <w:szCs w:val="21"/>
                      <w:highlight w:val="none"/>
                    </w:rPr>
                  </w:pPr>
                  <w:r>
                    <w:rPr>
                      <w:rFonts w:hint="eastAsia" w:ascii="宋体" w:hAnsi="宋体" w:cs="宋体"/>
                      <w:color w:val="auto"/>
                      <w:kern w:val="0"/>
                      <w:szCs w:val="21"/>
                      <w:highlight w:val="none"/>
                    </w:rPr>
                    <w:t>a10信用信息查询结果</w:t>
                  </w:r>
                </w:p>
              </w:tc>
              <w:tc>
                <w:tcPr>
                  <w:tcW w:w="6203" w:type="dxa"/>
                  <w:tcBorders>
                    <w:top w:val="outset" w:color="auto" w:sz="6" w:space="0"/>
                    <w:left w:val="outset" w:color="auto" w:sz="6" w:space="0"/>
                    <w:bottom w:val="outset" w:color="auto" w:sz="6" w:space="0"/>
                    <w:right w:val="outset" w:color="auto" w:sz="6" w:space="0"/>
                  </w:tcBorders>
                  <w:vAlign w:val="center"/>
                </w:tcPr>
                <w:p>
                  <w:pPr>
                    <w:keepNext w:val="0"/>
                    <w:keepLines w:val="0"/>
                    <w:suppressLineNumbers w:val="0"/>
                    <w:spacing w:before="0" w:beforeAutospacing="0" w:after="0" w:afterAutospacing="0" w:line="500" w:lineRule="exact"/>
                    <w:ind w:left="0" w:right="0"/>
                    <w:rPr>
                      <w:rFonts w:hint="default" w:ascii="宋体" w:hAnsi="宋体" w:cs="宋体"/>
                      <w:color w:val="auto"/>
                      <w:kern w:val="0"/>
                      <w:szCs w:val="21"/>
                      <w:highlight w:val="none"/>
                    </w:rPr>
                  </w:pPr>
                  <w:r>
                    <w:rPr>
                      <w:rFonts w:hint="eastAsia" w:ascii="宋体" w:hAnsi="宋体" w:cs="宋体"/>
                      <w:color w:val="auto"/>
                      <w:kern w:val="0"/>
                      <w:szCs w:val="21"/>
                      <w:highlight w:val="none"/>
                      <w:lang w:bidi="ar"/>
                    </w:rPr>
                    <w:t>报价供应商应按照竞争性磋商文件第一章及第五章规定提供。</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439" w:hRule="atLeast"/>
                <w:tblCellSpacing w:w="0" w:type="dxa"/>
              </w:trPr>
              <w:tc>
                <w:tcPr>
                  <w:tcW w:w="1881" w:type="dxa"/>
                  <w:tcBorders>
                    <w:top w:val="outset" w:color="auto" w:sz="6" w:space="0"/>
                    <w:left w:val="outset" w:color="auto" w:sz="6" w:space="0"/>
                    <w:bottom w:val="outset" w:color="auto" w:sz="6" w:space="0"/>
                    <w:right w:val="outset" w:color="auto" w:sz="6" w:space="0"/>
                  </w:tcBorders>
                  <w:vAlign w:val="center"/>
                </w:tcPr>
                <w:p>
                  <w:pPr>
                    <w:keepNext w:val="0"/>
                    <w:keepLines w:val="0"/>
                    <w:widowControl/>
                    <w:suppressLineNumbers w:val="0"/>
                    <w:spacing w:before="0" w:beforeAutospacing="0" w:after="0" w:afterAutospacing="0" w:line="500" w:lineRule="exact"/>
                    <w:ind w:left="0" w:right="0"/>
                    <w:jc w:val="left"/>
                    <w:rPr>
                      <w:rFonts w:hint="default" w:ascii="宋体" w:hAnsi="宋体" w:cs="宋体"/>
                      <w:color w:val="auto"/>
                      <w:kern w:val="0"/>
                      <w:szCs w:val="21"/>
                      <w:highlight w:val="none"/>
                    </w:rPr>
                  </w:pPr>
                  <w:r>
                    <w:rPr>
                      <w:rFonts w:hint="eastAsia" w:ascii="宋体" w:hAnsi="宋体" w:cs="宋体"/>
                      <w:color w:val="auto"/>
                      <w:kern w:val="0"/>
                      <w:szCs w:val="21"/>
                      <w:highlight w:val="none"/>
                    </w:rPr>
                    <w:t>a11投标（磋商）保证金</w:t>
                  </w:r>
                </w:p>
              </w:tc>
              <w:tc>
                <w:tcPr>
                  <w:tcW w:w="6203" w:type="dxa"/>
                  <w:tcBorders>
                    <w:top w:val="outset" w:color="auto" w:sz="6" w:space="0"/>
                    <w:left w:val="outset" w:color="auto" w:sz="6" w:space="0"/>
                    <w:bottom w:val="outset" w:color="auto" w:sz="6" w:space="0"/>
                    <w:right w:val="outset" w:color="auto" w:sz="6" w:space="0"/>
                  </w:tcBorders>
                  <w:vAlign w:val="center"/>
                </w:tcPr>
                <w:p>
                  <w:pPr>
                    <w:keepNext w:val="0"/>
                    <w:keepLines w:val="0"/>
                    <w:widowControl/>
                    <w:suppressLineNumbers w:val="0"/>
                    <w:spacing w:before="0" w:beforeAutospacing="0" w:after="0" w:afterAutospacing="0" w:line="500" w:lineRule="exact"/>
                    <w:ind w:left="0" w:right="0"/>
                    <w:jc w:val="left"/>
                    <w:rPr>
                      <w:rFonts w:hint="default" w:ascii="宋体" w:hAnsi="宋体" w:cs="宋体"/>
                      <w:color w:val="auto"/>
                      <w:kern w:val="0"/>
                      <w:szCs w:val="21"/>
                      <w:highlight w:val="none"/>
                    </w:rPr>
                  </w:pPr>
                </w:p>
              </w:tc>
            </w:tr>
          </w:tbl>
          <w:p>
            <w:pPr>
              <w:keepNext w:val="0"/>
              <w:keepLines w:val="0"/>
              <w:widowControl/>
              <w:suppressLineNumbers w:val="0"/>
              <w:spacing w:before="0" w:beforeAutospacing="0" w:after="0" w:afterAutospacing="0" w:line="500" w:lineRule="exact"/>
              <w:ind w:left="0" w:right="0"/>
              <w:jc w:val="left"/>
              <w:rPr>
                <w:rFonts w:hint="default" w:ascii="宋体" w:hAnsi="宋体" w:cs="宋体"/>
                <w:b/>
                <w:bCs/>
                <w:color w:val="auto"/>
                <w:kern w:val="0"/>
                <w:szCs w:val="21"/>
                <w:highlight w:val="none"/>
              </w:rPr>
            </w:pPr>
            <w:r>
              <w:rPr>
                <w:rFonts w:hint="eastAsia" w:ascii="宋体" w:hAnsi="宋体" w:cs="宋体"/>
                <w:color w:val="auto"/>
                <w:szCs w:val="21"/>
                <w:highlight w:val="none"/>
              </w:rPr>
              <w:t>特定条件：/</w:t>
            </w:r>
          </w:p>
          <w:p>
            <w:pPr>
              <w:keepNext w:val="0"/>
              <w:keepLines w:val="0"/>
              <w:widowControl/>
              <w:suppressLineNumbers w:val="0"/>
              <w:spacing w:before="0" w:beforeAutospacing="0" w:after="0" w:afterAutospacing="0" w:line="500" w:lineRule="exact"/>
              <w:ind w:left="0" w:right="0"/>
              <w:jc w:val="left"/>
              <w:rPr>
                <w:rFonts w:hint="default" w:ascii="宋体" w:hAnsi="宋体" w:cs="宋体"/>
                <w:color w:val="auto"/>
                <w:kern w:val="0"/>
                <w:szCs w:val="21"/>
                <w:highlight w:val="none"/>
              </w:rPr>
            </w:pPr>
            <w:r>
              <w:rPr>
                <w:rFonts w:hint="eastAsia" w:ascii="宋体" w:hAnsi="宋体" w:cs="宋体"/>
                <w:b/>
                <w:bCs/>
                <w:color w:val="auto"/>
                <w:kern w:val="0"/>
                <w:szCs w:val="21"/>
                <w:highlight w:val="none"/>
              </w:rPr>
              <w:t>※磋商文件第五章对法定资格条件证明资料已有详细规定和要求（包括特定情形），供应商按照第五章要求提供，并按要求对文件进行签署、盖章等，否则按报价无效处理。</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rHeight w:val="585" w:hRule="atLeast"/>
          <w:tblCellSpacing w:w="15" w:type="dxa"/>
        </w:trPr>
        <w:tc>
          <w:tcPr>
            <w:tcW w:w="669" w:type="dxa"/>
            <w:tcBorders>
              <w:top w:val="single" w:color="000000" w:sz="6" w:space="0"/>
              <w:left w:val="single" w:color="000000" w:sz="6" w:space="0"/>
              <w:bottom w:val="single" w:color="000000" w:sz="6" w:space="0"/>
              <w:right w:val="single" w:color="000000" w:sz="6" w:space="0"/>
            </w:tcBorders>
            <w:tcMar>
              <w:top w:w="0" w:type="dxa"/>
              <w:left w:w="105" w:type="dxa"/>
              <w:bottom w:w="0" w:type="dxa"/>
              <w:right w:w="105" w:type="dxa"/>
            </w:tcMar>
            <w:vAlign w:val="center"/>
          </w:tcPr>
          <w:p>
            <w:pPr>
              <w:keepNext w:val="0"/>
              <w:keepLines w:val="0"/>
              <w:widowControl/>
              <w:suppressLineNumbers w:val="0"/>
              <w:spacing w:before="0" w:beforeAutospacing="0" w:after="0" w:afterAutospacing="0" w:line="500" w:lineRule="exact"/>
              <w:ind w:left="0" w:right="0"/>
              <w:jc w:val="center"/>
              <w:rPr>
                <w:rFonts w:hint="default" w:ascii="宋体" w:hAnsi="宋体" w:cs="宋体"/>
                <w:color w:val="auto"/>
                <w:kern w:val="0"/>
                <w:szCs w:val="21"/>
                <w:highlight w:val="none"/>
              </w:rPr>
            </w:pPr>
            <w:r>
              <w:rPr>
                <w:rFonts w:hint="eastAsia" w:ascii="宋体" w:hAnsi="宋体" w:cs="宋体"/>
                <w:color w:val="auto"/>
                <w:kern w:val="0"/>
                <w:szCs w:val="21"/>
                <w:highlight w:val="none"/>
              </w:rPr>
              <w:t>2</w:t>
            </w:r>
          </w:p>
        </w:tc>
        <w:tc>
          <w:tcPr>
            <w:tcW w:w="949" w:type="dxa"/>
            <w:tcBorders>
              <w:top w:val="single" w:color="000000" w:sz="6" w:space="0"/>
              <w:left w:val="single" w:color="000000" w:sz="6" w:space="0"/>
              <w:bottom w:val="single" w:color="000000" w:sz="6" w:space="0"/>
              <w:right w:val="single" w:color="000000" w:sz="6" w:space="0"/>
            </w:tcBorders>
            <w:tcMar>
              <w:top w:w="0" w:type="dxa"/>
              <w:left w:w="105" w:type="dxa"/>
              <w:bottom w:w="0" w:type="dxa"/>
              <w:right w:w="105" w:type="dxa"/>
            </w:tcMar>
            <w:vAlign w:val="center"/>
          </w:tcPr>
          <w:p>
            <w:pPr>
              <w:keepNext w:val="0"/>
              <w:keepLines w:val="0"/>
              <w:widowControl/>
              <w:suppressLineNumbers w:val="0"/>
              <w:spacing w:before="0" w:beforeAutospacing="0" w:after="0" w:afterAutospacing="0" w:line="500" w:lineRule="exact"/>
              <w:ind w:left="0" w:right="0"/>
              <w:jc w:val="left"/>
              <w:rPr>
                <w:rFonts w:hint="default" w:ascii="宋体" w:hAnsi="宋体" w:cs="宋体"/>
                <w:color w:val="auto"/>
                <w:kern w:val="0"/>
                <w:szCs w:val="21"/>
                <w:highlight w:val="none"/>
              </w:rPr>
            </w:pPr>
            <w:r>
              <w:rPr>
                <w:rFonts w:hint="eastAsia" w:ascii="宋体" w:hAnsi="宋体" w:cs="宋体"/>
                <w:color w:val="auto"/>
                <w:kern w:val="0"/>
                <w:szCs w:val="21"/>
                <w:highlight w:val="none"/>
              </w:rPr>
              <w:t>3.2.2</w:t>
            </w:r>
          </w:p>
        </w:tc>
        <w:tc>
          <w:tcPr>
            <w:tcW w:w="8320" w:type="dxa"/>
            <w:tcBorders>
              <w:top w:val="single" w:color="000000" w:sz="6" w:space="0"/>
              <w:left w:val="single" w:color="000000" w:sz="6" w:space="0"/>
              <w:bottom w:val="single" w:color="000000" w:sz="6" w:space="0"/>
              <w:right w:val="single" w:color="000000" w:sz="6" w:space="0"/>
            </w:tcBorders>
            <w:tcMar>
              <w:top w:w="0" w:type="dxa"/>
              <w:left w:w="105" w:type="dxa"/>
              <w:bottom w:w="0" w:type="dxa"/>
              <w:right w:w="105" w:type="dxa"/>
            </w:tcMar>
            <w:vAlign w:val="center"/>
          </w:tcPr>
          <w:p>
            <w:pPr>
              <w:keepNext w:val="0"/>
              <w:keepLines w:val="0"/>
              <w:widowControl/>
              <w:suppressLineNumbers w:val="0"/>
              <w:spacing w:before="0" w:beforeAutospacing="0" w:after="0" w:afterAutospacing="0" w:line="500" w:lineRule="exact"/>
              <w:ind w:left="0" w:right="0"/>
              <w:jc w:val="left"/>
              <w:rPr>
                <w:rFonts w:hint="default" w:ascii="宋体" w:hAnsi="宋体" w:cs="宋体"/>
                <w:color w:val="auto"/>
                <w:kern w:val="0"/>
                <w:szCs w:val="21"/>
                <w:highlight w:val="none"/>
              </w:rPr>
            </w:pPr>
            <w:r>
              <w:rPr>
                <w:rFonts w:hint="eastAsia" w:ascii="宋体" w:hAnsi="宋体" w:cs="宋体"/>
                <w:b/>
                <w:bCs/>
                <w:color w:val="auto"/>
                <w:kern w:val="0"/>
                <w:szCs w:val="21"/>
                <w:highlight w:val="none"/>
              </w:rPr>
              <w:t>是否接受联合体形式的响应磋商：</w:t>
            </w:r>
            <w:r>
              <w:rPr>
                <w:rFonts w:hint="eastAsia" w:ascii="宋体" w:hAnsi="宋体" w:cs="宋体"/>
                <w:color w:val="auto"/>
                <w:kern w:val="0"/>
                <w:szCs w:val="21"/>
                <w:highlight w:val="none"/>
              </w:rPr>
              <w:t>不接受</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rHeight w:val="506" w:hRule="atLeast"/>
          <w:tblCellSpacing w:w="15" w:type="dxa"/>
        </w:trPr>
        <w:tc>
          <w:tcPr>
            <w:tcW w:w="669" w:type="dxa"/>
            <w:tcBorders>
              <w:top w:val="single" w:color="000000" w:sz="6" w:space="0"/>
              <w:left w:val="single" w:color="000000" w:sz="6" w:space="0"/>
              <w:bottom w:val="single" w:color="000000" w:sz="6" w:space="0"/>
              <w:right w:val="single" w:color="000000" w:sz="6" w:space="0"/>
            </w:tcBorders>
            <w:tcMar>
              <w:top w:w="0" w:type="dxa"/>
              <w:left w:w="105" w:type="dxa"/>
              <w:bottom w:w="0" w:type="dxa"/>
              <w:right w:w="105" w:type="dxa"/>
            </w:tcMar>
            <w:vAlign w:val="center"/>
          </w:tcPr>
          <w:p>
            <w:pPr>
              <w:keepNext w:val="0"/>
              <w:keepLines w:val="0"/>
              <w:widowControl/>
              <w:suppressLineNumbers w:val="0"/>
              <w:spacing w:before="0" w:beforeAutospacing="0" w:after="0" w:afterAutospacing="0" w:line="500" w:lineRule="exact"/>
              <w:ind w:left="0" w:right="0"/>
              <w:jc w:val="center"/>
              <w:rPr>
                <w:rFonts w:hint="default" w:ascii="宋体" w:hAnsi="宋体" w:cs="宋体"/>
                <w:color w:val="auto"/>
                <w:kern w:val="0"/>
                <w:szCs w:val="21"/>
                <w:highlight w:val="none"/>
              </w:rPr>
            </w:pPr>
            <w:r>
              <w:rPr>
                <w:rFonts w:hint="eastAsia" w:ascii="宋体" w:hAnsi="宋体" w:cs="宋体"/>
                <w:color w:val="auto"/>
                <w:kern w:val="0"/>
                <w:szCs w:val="21"/>
                <w:highlight w:val="none"/>
              </w:rPr>
              <w:t>3</w:t>
            </w:r>
          </w:p>
        </w:tc>
        <w:tc>
          <w:tcPr>
            <w:tcW w:w="949" w:type="dxa"/>
            <w:tcBorders>
              <w:top w:val="single" w:color="000000" w:sz="6" w:space="0"/>
              <w:left w:val="single" w:color="000000" w:sz="6" w:space="0"/>
              <w:bottom w:val="single" w:color="000000" w:sz="6" w:space="0"/>
              <w:right w:val="single" w:color="000000" w:sz="6" w:space="0"/>
            </w:tcBorders>
            <w:tcMar>
              <w:top w:w="0" w:type="dxa"/>
              <w:left w:w="105" w:type="dxa"/>
              <w:bottom w:w="0" w:type="dxa"/>
              <w:right w:w="105" w:type="dxa"/>
            </w:tcMar>
            <w:vAlign w:val="center"/>
          </w:tcPr>
          <w:p>
            <w:pPr>
              <w:keepNext w:val="0"/>
              <w:keepLines w:val="0"/>
              <w:widowControl/>
              <w:suppressLineNumbers w:val="0"/>
              <w:spacing w:before="0" w:beforeAutospacing="0" w:after="0" w:afterAutospacing="0" w:line="500" w:lineRule="exact"/>
              <w:ind w:left="0" w:right="0"/>
              <w:jc w:val="left"/>
              <w:rPr>
                <w:rFonts w:hint="default" w:ascii="宋体" w:hAnsi="宋体" w:cs="宋体"/>
                <w:color w:val="auto"/>
                <w:kern w:val="0"/>
                <w:szCs w:val="21"/>
                <w:highlight w:val="none"/>
              </w:rPr>
            </w:pPr>
            <w:r>
              <w:rPr>
                <w:rFonts w:hint="eastAsia" w:ascii="宋体" w:hAnsi="宋体" w:cs="宋体"/>
                <w:color w:val="auto"/>
                <w:kern w:val="0"/>
                <w:szCs w:val="21"/>
                <w:highlight w:val="none"/>
              </w:rPr>
              <w:t>9.1</w:t>
            </w:r>
          </w:p>
        </w:tc>
        <w:tc>
          <w:tcPr>
            <w:tcW w:w="8320" w:type="dxa"/>
            <w:tcBorders>
              <w:top w:val="single" w:color="000000" w:sz="6" w:space="0"/>
              <w:left w:val="single" w:color="000000" w:sz="6" w:space="0"/>
              <w:bottom w:val="single" w:color="000000" w:sz="6" w:space="0"/>
              <w:right w:val="single" w:color="000000" w:sz="6" w:space="0"/>
            </w:tcBorders>
            <w:tcMar>
              <w:top w:w="0" w:type="dxa"/>
              <w:left w:w="105" w:type="dxa"/>
              <w:bottom w:w="0" w:type="dxa"/>
              <w:right w:w="105" w:type="dxa"/>
            </w:tcMar>
            <w:vAlign w:val="center"/>
          </w:tcPr>
          <w:p>
            <w:pPr>
              <w:keepNext w:val="0"/>
              <w:keepLines w:val="0"/>
              <w:widowControl/>
              <w:suppressLineNumbers w:val="0"/>
              <w:spacing w:before="0" w:beforeAutospacing="0" w:after="0" w:afterAutospacing="0" w:line="500" w:lineRule="exact"/>
              <w:ind w:left="0" w:right="0"/>
              <w:jc w:val="left"/>
              <w:rPr>
                <w:rFonts w:hint="default" w:ascii="宋体" w:hAnsi="宋体" w:cs="宋体"/>
                <w:color w:val="auto"/>
                <w:kern w:val="0"/>
                <w:szCs w:val="21"/>
                <w:highlight w:val="none"/>
              </w:rPr>
            </w:pPr>
            <w:r>
              <w:rPr>
                <w:rFonts w:hint="eastAsia" w:ascii="宋体" w:hAnsi="宋体" w:cs="宋体"/>
                <w:b/>
                <w:bCs/>
                <w:color w:val="auto"/>
                <w:kern w:val="0"/>
                <w:szCs w:val="21"/>
                <w:highlight w:val="none"/>
              </w:rPr>
              <w:t>响应文件有效期：</w:t>
            </w:r>
            <w:r>
              <w:rPr>
                <w:rFonts w:hint="eastAsia" w:ascii="宋体" w:hAnsi="宋体" w:cs="宋体"/>
                <w:color w:val="auto"/>
                <w:kern w:val="0"/>
                <w:szCs w:val="21"/>
                <w:highlight w:val="none"/>
              </w:rPr>
              <w:t>首次响应文件提交截止时间起90个日历日。</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rHeight w:val="1498" w:hRule="atLeast"/>
          <w:tblCellSpacing w:w="15" w:type="dxa"/>
        </w:trPr>
        <w:tc>
          <w:tcPr>
            <w:tcW w:w="669" w:type="dxa"/>
            <w:tcBorders>
              <w:top w:val="single" w:color="000000" w:sz="6" w:space="0"/>
              <w:left w:val="single" w:color="000000" w:sz="6" w:space="0"/>
              <w:bottom w:val="single" w:color="000000" w:sz="6" w:space="0"/>
              <w:right w:val="single" w:color="000000" w:sz="6" w:space="0"/>
            </w:tcBorders>
            <w:tcMar>
              <w:top w:w="0" w:type="dxa"/>
              <w:left w:w="105" w:type="dxa"/>
              <w:bottom w:w="0" w:type="dxa"/>
              <w:right w:w="105" w:type="dxa"/>
            </w:tcMar>
            <w:vAlign w:val="center"/>
          </w:tcPr>
          <w:p>
            <w:pPr>
              <w:keepNext w:val="0"/>
              <w:keepLines w:val="0"/>
              <w:widowControl/>
              <w:suppressLineNumbers w:val="0"/>
              <w:spacing w:before="0" w:beforeAutospacing="0" w:after="0" w:afterAutospacing="0" w:line="500" w:lineRule="exact"/>
              <w:ind w:left="0" w:right="0"/>
              <w:jc w:val="center"/>
              <w:rPr>
                <w:rFonts w:hint="default" w:ascii="宋体" w:hAnsi="宋体" w:cs="宋体"/>
                <w:color w:val="auto"/>
                <w:kern w:val="0"/>
                <w:szCs w:val="21"/>
                <w:highlight w:val="none"/>
              </w:rPr>
            </w:pPr>
            <w:r>
              <w:rPr>
                <w:rFonts w:hint="eastAsia" w:ascii="宋体" w:hAnsi="宋体" w:cs="宋体"/>
                <w:color w:val="auto"/>
                <w:kern w:val="0"/>
                <w:szCs w:val="21"/>
                <w:highlight w:val="none"/>
              </w:rPr>
              <w:t>4</w:t>
            </w:r>
          </w:p>
        </w:tc>
        <w:tc>
          <w:tcPr>
            <w:tcW w:w="949" w:type="dxa"/>
            <w:tcBorders>
              <w:top w:val="single" w:color="000000" w:sz="6" w:space="0"/>
              <w:left w:val="single" w:color="000000" w:sz="6" w:space="0"/>
              <w:bottom w:val="single" w:color="000000" w:sz="6" w:space="0"/>
              <w:right w:val="single" w:color="000000" w:sz="6" w:space="0"/>
            </w:tcBorders>
            <w:tcMar>
              <w:top w:w="0" w:type="dxa"/>
              <w:left w:w="105" w:type="dxa"/>
              <w:bottom w:w="0" w:type="dxa"/>
              <w:right w:w="105" w:type="dxa"/>
            </w:tcMar>
            <w:vAlign w:val="center"/>
          </w:tcPr>
          <w:p>
            <w:pPr>
              <w:keepNext w:val="0"/>
              <w:keepLines w:val="0"/>
              <w:widowControl/>
              <w:suppressLineNumbers w:val="0"/>
              <w:spacing w:before="0" w:beforeAutospacing="0" w:after="0" w:afterAutospacing="0" w:line="500" w:lineRule="exact"/>
              <w:ind w:left="0" w:right="0"/>
              <w:jc w:val="left"/>
              <w:rPr>
                <w:rFonts w:hint="default" w:ascii="宋体" w:hAnsi="宋体" w:cs="宋体"/>
                <w:color w:val="auto"/>
                <w:kern w:val="0"/>
                <w:szCs w:val="21"/>
                <w:highlight w:val="none"/>
              </w:rPr>
            </w:pPr>
            <w:r>
              <w:rPr>
                <w:rFonts w:hint="eastAsia" w:ascii="宋体" w:hAnsi="宋体" w:cs="宋体"/>
                <w:color w:val="auto"/>
                <w:kern w:val="0"/>
                <w:szCs w:val="21"/>
                <w:highlight w:val="none"/>
              </w:rPr>
              <w:t>10.1</w:t>
            </w:r>
          </w:p>
        </w:tc>
        <w:tc>
          <w:tcPr>
            <w:tcW w:w="8320" w:type="dxa"/>
            <w:tcBorders>
              <w:top w:val="single" w:color="000000" w:sz="6" w:space="0"/>
              <w:left w:val="single" w:color="000000" w:sz="6" w:space="0"/>
              <w:bottom w:val="single" w:color="000000" w:sz="6" w:space="0"/>
              <w:right w:val="single" w:color="000000" w:sz="6" w:space="0"/>
            </w:tcBorders>
            <w:tcMar>
              <w:top w:w="0" w:type="dxa"/>
              <w:left w:w="105" w:type="dxa"/>
              <w:bottom w:w="0" w:type="dxa"/>
              <w:right w:w="105" w:type="dxa"/>
            </w:tcMar>
          </w:tcPr>
          <w:p>
            <w:pPr>
              <w:keepNext w:val="0"/>
              <w:keepLines w:val="0"/>
              <w:widowControl/>
              <w:suppressLineNumbers w:val="0"/>
              <w:spacing w:before="0" w:beforeAutospacing="0" w:after="0" w:afterAutospacing="0" w:line="500" w:lineRule="exact"/>
              <w:ind w:left="0" w:right="0"/>
              <w:jc w:val="left"/>
              <w:rPr>
                <w:rFonts w:hint="default" w:ascii="宋体" w:hAnsi="宋体" w:cs="宋体"/>
                <w:color w:val="auto"/>
                <w:kern w:val="0"/>
                <w:szCs w:val="21"/>
                <w:highlight w:val="none"/>
              </w:rPr>
            </w:pPr>
            <w:r>
              <w:rPr>
                <w:rFonts w:hint="eastAsia" w:ascii="宋体" w:hAnsi="宋体" w:cs="宋体"/>
                <w:b/>
                <w:bCs/>
                <w:color w:val="auto"/>
                <w:kern w:val="0"/>
                <w:szCs w:val="21"/>
                <w:highlight w:val="none"/>
              </w:rPr>
              <w:t>提交磋商保证金：</w:t>
            </w:r>
          </w:p>
          <w:p>
            <w:pPr>
              <w:keepNext w:val="0"/>
              <w:keepLines w:val="0"/>
              <w:widowControl/>
              <w:suppressLineNumbers w:val="0"/>
              <w:spacing w:before="0" w:beforeAutospacing="0" w:after="0" w:afterAutospacing="0" w:line="500" w:lineRule="exact"/>
              <w:ind w:left="0" w:right="0" w:firstLine="420" w:firstLineChars="200"/>
              <w:jc w:val="left"/>
              <w:rPr>
                <w:rFonts w:hint="default" w:ascii="宋体" w:hAnsi="宋体" w:cs="宋体"/>
                <w:color w:val="auto"/>
                <w:kern w:val="0"/>
                <w:szCs w:val="21"/>
                <w:highlight w:val="none"/>
              </w:rPr>
            </w:pPr>
            <w:r>
              <w:rPr>
                <w:rFonts w:hint="eastAsia" w:ascii="宋体" w:hAnsi="宋体" w:cs="宋体"/>
                <w:color w:val="auto"/>
                <w:kern w:val="0"/>
                <w:szCs w:val="21"/>
                <w:highlight w:val="none"/>
              </w:rPr>
              <w:t>本项目的磋商保证金详见《采购标的一览表》，保证金须以供应商名义，通过支票、汇票、本票或者金融机构、担保机构出具的保函、转账等非现金形式提交。采用转账方式的，磋商保证金应于磋商截止时间前到达磋商文件载明的磋商保证金账户，否则视为磋商保证金未提交；是否到达按照下列方式认定：以是否到达以指定银行账户的到账时间为准。其他约定：无。</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rHeight w:val="585" w:hRule="atLeast"/>
          <w:tblCellSpacing w:w="15" w:type="dxa"/>
        </w:trPr>
        <w:tc>
          <w:tcPr>
            <w:tcW w:w="669" w:type="dxa"/>
            <w:tcBorders>
              <w:top w:val="single" w:color="000000" w:sz="6" w:space="0"/>
              <w:left w:val="single" w:color="000000" w:sz="6" w:space="0"/>
              <w:bottom w:val="single" w:color="000000" w:sz="6" w:space="0"/>
              <w:right w:val="single" w:color="000000" w:sz="6" w:space="0"/>
            </w:tcBorders>
            <w:tcMar>
              <w:top w:w="0" w:type="dxa"/>
              <w:left w:w="105" w:type="dxa"/>
              <w:bottom w:w="0" w:type="dxa"/>
              <w:right w:w="105" w:type="dxa"/>
            </w:tcMar>
            <w:vAlign w:val="center"/>
          </w:tcPr>
          <w:p>
            <w:pPr>
              <w:keepNext w:val="0"/>
              <w:keepLines w:val="0"/>
              <w:widowControl/>
              <w:suppressLineNumbers w:val="0"/>
              <w:spacing w:before="0" w:beforeAutospacing="0" w:after="0" w:afterAutospacing="0" w:line="500" w:lineRule="exact"/>
              <w:ind w:left="0" w:right="0"/>
              <w:jc w:val="center"/>
              <w:rPr>
                <w:rFonts w:hint="default" w:ascii="宋体" w:hAnsi="宋体" w:cs="宋体"/>
                <w:color w:val="auto"/>
                <w:kern w:val="0"/>
                <w:szCs w:val="21"/>
                <w:highlight w:val="none"/>
              </w:rPr>
            </w:pPr>
            <w:r>
              <w:rPr>
                <w:rFonts w:hint="eastAsia" w:ascii="宋体" w:hAnsi="宋体" w:cs="宋体"/>
                <w:color w:val="auto"/>
                <w:kern w:val="0"/>
                <w:szCs w:val="21"/>
                <w:highlight w:val="none"/>
              </w:rPr>
              <w:t>5</w:t>
            </w:r>
          </w:p>
        </w:tc>
        <w:tc>
          <w:tcPr>
            <w:tcW w:w="949" w:type="dxa"/>
            <w:tcBorders>
              <w:top w:val="single" w:color="000000" w:sz="6" w:space="0"/>
              <w:left w:val="single" w:color="000000" w:sz="6" w:space="0"/>
              <w:bottom w:val="single" w:color="000000" w:sz="6" w:space="0"/>
              <w:right w:val="single" w:color="000000" w:sz="6" w:space="0"/>
            </w:tcBorders>
            <w:tcMar>
              <w:top w:w="0" w:type="dxa"/>
              <w:left w:w="105" w:type="dxa"/>
              <w:bottom w:w="0" w:type="dxa"/>
              <w:right w:w="105" w:type="dxa"/>
            </w:tcMar>
            <w:vAlign w:val="center"/>
          </w:tcPr>
          <w:p>
            <w:pPr>
              <w:keepNext w:val="0"/>
              <w:keepLines w:val="0"/>
              <w:widowControl/>
              <w:suppressLineNumbers w:val="0"/>
              <w:spacing w:before="0" w:beforeAutospacing="0" w:after="0" w:afterAutospacing="0" w:line="500" w:lineRule="exact"/>
              <w:ind w:left="0" w:right="0"/>
              <w:jc w:val="left"/>
              <w:rPr>
                <w:rFonts w:hint="default" w:ascii="宋体" w:hAnsi="宋体" w:cs="宋体"/>
                <w:color w:val="auto"/>
                <w:kern w:val="0"/>
                <w:szCs w:val="21"/>
                <w:highlight w:val="none"/>
              </w:rPr>
            </w:pPr>
            <w:r>
              <w:rPr>
                <w:rFonts w:hint="eastAsia" w:ascii="宋体" w:hAnsi="宋体" w:cs="宋体"/>
                <w:color w:val="auto"/>
                <w:kern w:val="0"/>
                <w:szCs w:val="21"/>
                <w:highlight w:val="none"/>
              </w:rPr>
              <w:t>10.3.1</w:t>
            </w:r>
          </w:p>
        </w:tc>
        <w:tc>
          <w:tcPr>
            <w:tcW w:w="8320" w:type="dxa"/>
            <w:tcBorders>
              <w:top w:val="single" w:color="000000" w:sz="6" w:space="0"/>
              <w:left w:val="single" w:color="000000" w:sz="6" w:space="0"/>
              <w:bottom w:val="single" w:color="000000" w:sz="6" w:space="0"/>
              <w:right w:val="single" w:color="000000" w:sz="6" w:space="0"/>
            </w:tcBorders>
            <w:tcMar>
              <w:top w:w="0" w:type="dxa"/>
              <w:left w:w="105" w:type="dxa"/>
              <w:bottom w:w="0" w:type="dxa"/>
              <w:right w:w="105" w:type="dxa"/>
            </w:tcMar>
            <w:vAlign w:val="center"/>
          </w:tcPr>
          <w:p>
            <w:pPr>
              <w:keepNext w:val="0"/>
              <w:keepLines w:val="0"/>
              <w:widowControl/>
              <w:suppressLineNumbers w:val="0"/>
              <w:spacing w:before="0" w:beforeAutospacing="0" w:after="0" w:afterAutospacing="0" w:line="500" w:lineRule="exact"/>
              <w:ind w:left="0" w:right="0"/>
              <w:jc w:val="left"/>
              <w:rPr>
                <w:rFonts w:hint="default" w:ascii="宋体" w:hAnsi="宋体" w:cs="宋体"/>
                <w:color w:val="auto"/>
                <w:kern w:val="0"/>
                <w:szCs w:val="21"/>
                <w:highlight w:val="none"/>
              </w:rPr>
            </w:pPr>
            <w:r>
              <w:rPr>
                <w:rFonts w:hint="eastAsia" w:ascii="宋体" w:hAnsi="宋体" w:cs="宋体"/>
                <w:b/>
                <w:bCs/>
                <w:color w:val="auto"/>
                <w:kern w:val="0"/>
                <w:szCs w:val="21"/>
                <w:highlight w:val="none"/>
              </w:rPr>
              <w:t>磋商保证金退还的其它要求：</w:t>
            </w:r>
            <w:r>
              <w:rPr>
                <w:rFonts w:hint="eastAsia" w:ascii="宋体" w:hAnsi="宋体" w:cs="宋体"/>
                <w:color w:val="auto"/>
                <w:kern w:val="0"/>
                <w:szCs w:val="21"/>
                <w:highlight w:val="none"/>
              </w:rPr>
              <w:t>/ </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rHeight w:val="1995" w:hRule="atLeast"/>
          <w:tblCellSpacing w:w="15" w:type="dxa"/>
        </w:trPr>
        <w:tc>
          <w:tcPr>
            <w:tcW w:w="669" w:type="dxa"/>
            <w:tcBorders>
              <w:top w:val="single" w:color="000000" w:sz="6" w:space="0"/>
              <w:left w:val="single" w:color="000000" w:sz="6" w:space="0"/>
              <w:bottom w:val="single" w:color="000000" w:sz="6" w:space="0"/>
              <w:right w:val="single" w:color="000000" w:sz="6" w:space="0"/>
            </w:tcBorders>
            <w:tcMar>
              <w:top w:w="0" w:type="dxa"/>
              <w:left w:w="105" w:type="dxa"/>
              <w:bottom w:w="0" w:type="dxa"/>
              <w:right w:w="105" w:type="dxa"/>
            </w:tcMar>
            <w:vAlign w:val="center"/>
          </w:tcPr>
          <w:p>
            <w:pPr>
              <w:keepNext w:val="0"/>
              <w:keepLines w:val="0"/>
              <w:widowControl/>
              <w:suppressLineNumbers w:val="0"/>
              <w:spacing w:before="0" w:beforeAutospacing="0" w:after="0" w:afterAutospacing="0" w:line="500" w:lineRule="exact"/>
              <w:ind w:left="0" w:right="0"/>
              <w:jc w:val="center"/>
              <w:rPr>
                <w:rFonts w:hint="default" w:ascii="宋体" w:hAnsi="宋体" w:cs="宋体"/>
                <w:color w:val="auto"/>
                <w:kern w:val="0"/>
                <w:szCs w:val="21"/>
                <w:highlight w:val="none"/>
              </w:rPr>
            </w:pPr>
            <w:r>
              <w:rPr>
                <w:rFonts w:hint="eastAsia" w:ascii="宋体" w:hAnsi="宋体" w:cs="宋体"/>
                <w:color w:val="auto"/>
                <w:kern w:val="0"/>
                <w:szCs w:val="21"/>
                <w:highlight w:val="none"/>
              </w:rPr>
              <w:t>6</w:t>
            </w:r>
          </w:p>
        </w:tc>
        <w:tc>
          <w:tcPr>
            <w:tcW w:w="949" w:type="dxa"/>
            <w:tcBorders>
              <w:top w:val="single" w:color="000000" w:sz="6" w:space="0"/>
              <w:left w:val="single" w:color="000000" w:sz="6" w:space="0"/>
              <w:bottom w:val="single" w:color="000000" w:sz="6" w:space="0"/>
              <w:right w:val="single" w:color="000000" w:sz="6" w:space="0"/>
            </w:tcBorders>
            <w:tcMar>
              <w:top w:w="0" w:type="dxa"/>
              <w:left w:w="105" w:type="dxa"/>
              <w:bottom w:w="0" w:type="dxa"/>
              <w:right w:w="105" w:type="dxa"/>
            </w:tcMar>
            <w:vAlign w:val="center"/>
          </w:tcPr>
          <w:p>
            <w:pPr>
              <w:keepNext w:val="0"/>
              <w:keepLines w:val="0"/>
              <w:widowControl/>
              <w:suppressLineNumbers w:val="0"/>
              <w:spacing w:before="0" w:beforeAutospacing="0" w:after="0" w:afterAutospacing="0" w:line="500" w:lineRule="exact"/>
              <w:ind w:left="0" w:right="0"/>
              <w:jc w:val="left"/>
              <w:rPr>
                <w:rFonts w:hint="default" w:ascii="宋体" w:hAnsi="宋体" w:cs="宋体"/>
                <w:color w:val="auto"/>
                <w:kern w:val="0"/>
                <w:szCs w:val="21"/>
                <w:highlight w:val="none"/>
              </w:rPr>
            </w:pPr>
            <w:r>
              <w:rPr>
                <w:rFonts w:hint="eastAsia" w:ascii="宋体" w:hAnsi="宋体" w:cs="宋体"/>
                <w:color w:val="auto"/>
                <w:kern w:val="0"/>
                <w:szCs w:val="21"/>
                <w:highlight w:val="none"/>
              </w:rPr>
              <w:t>11.1</w:t>
            </w:r>
          </w:p>
        </w:tc>
        <w:tc>
          <w:tcPr>
            <w:tcW w:w="8320" w:type="dxa"/>
            <w:tcBorders>
              <w:top w:val="single" w:color="000000" w:sz="6" w:space="0"/>
              <w:left w:val="single" w:color="000000" w:sz="6" w:space="0"/>
              <w:bottom w:val="single" w:color="000000" w:sz="6" w:space="0"/>
              <w:right w:val="single" w:color="000000" w:sz="6" w:space="0"/>
            </w:tcBorders>
            <w:tcMar>
              <w:top w:w="0" w:type="dxa"/>
              <w:left w:w="105" w:type="dxa"/>
              <w:bottom w:w="0" w:type="dxa"/>
              <w:right w:w="105" w:type="dxa"/>
            </w:tcMar>
            <w:vAlign w:val="center"/>
          </w:tcPr>
          <w:p>
            <w:pPr>
              <w:keepNext w:val="0"/>
              <w:keepLines w:val="0"/>
              <w:widowControl/>
              <w:suppressLineNumbers w:val="0"/>
              <w:spacing w:before="0" w:beforeAutospacing="0" w:after="0" w:afterAutospacing="0" w:line="500" w:lineRule="exact"/>
              <w:ind w:left="0" w:right="0"/>
              <w:jc w:val="left"/>
              <w:rPr>
                <w:rFonts w:hint="default" w:ascii="宋体" w:hAnsi="宋体" w:cs="宋体"/>
                <w:color w:val="auto"/>
                <w:kern w:val="0"/>
                <w:szCs w:val="21"/>
                <w:highlight w:val="none"/>
              </w:rPr>
            </w:pPr>
            <w:r>
              <w:rPr>
                <w:rFonts w:hint="eastAsia" w:ascii="宋体" w:hAnsi="宋体" w:cs="宋体"/>
                <w:b/>
                <w:bCs/>
                <w:color w:val="auto"/>
                <w:kern w:val="0"/>
                <w:szCs w:val="21"/>
                <w:highlight w:val="none"/>
              </w:rPr>
              <w:t>响应文件的份数</w:t>
            </w:r>
          </w:p>
          <w:p>
            <w:pPr>
              <w:keepNext w:val="0"/>
              <w:keepLines w:val="0"/>
              <w:widowControl/>
              <w:suppressLineNumbers w:val="0"/>
              <w:spacing w:before="0" w:beforeAutospacing="0" w:after="0" w:afterAutospacing="0" w:line="500" w:lineRule="exact"/>
              <w:ind w:left="0" w:right="0"/>
              <w:jc w:val="left"/>
              <w:rPr>
                <w:rFonts w:hint="default" w:ascii="宋体" w:hAnsi="宋体" w:cs="宋体"/>
                <w:color w:val="auto"/>
                <w:kern w:val="0"/>
                <w:szCs w:val="21"/>
                <w:highlight w:val="none"/>
              </w:rPr>
            </w:pPr>
            <w:r>
              <w:rPr>
                <w:rFonts w:hint="eastAsia" w:ascii="宋体" w:hAnsi="宋体" w:cs="宋体"/>
                <w:color w:val="auto"/>
                <w:kern w:val="0"/>
                <w:szCs w:val="21"/>
                <w:highlight w:val="none"/>
              </w:rPr>
              <w:t>（1）纸质响应文件 </w:t>
            </w:r>
          </w:p>
          <w:p>
            <w:pPr>
              <w:keepNext w:val="0"/>
              <w:keepLines w:val="0"/>
              <w:widowControl/>
              <w:suppressLineNumbers w:val="0"/>
              <w:spacing w:before="0" w:beforeAutospacing="0" w:after="0" w:afterAutospacing="0" w:line="500" w:lineRule="exact"/>
              <w:ind w:left="0" w:right="0" w:firstLine="105" w:firstLineChars="50"/>
              <w:jc w:val="left"/>
              <w:rPr>
                <w:rFonts w:hint="default" w:ascii="宋体" w:hAnsi="宋体" w:cs="宋体"/>
                <w:color w:val="auto"/>
                <w:kern w:val="0"/>
                <w:szCs w:val="21"/>
                <w:highlight w:val="none"/>
              </w:rPr>
            </w:pPr>
            <w:r>
              <w:rPr>
                <w:rFonts w:hint="eastAsia" w:ascii="宋体" w:hAnsi="宋体" w:cs="宋体"/>
                <w:color w:val="auto"/>
                <w:kern w:val="0"/>
                <w:szCs w:val="21"/>
                <w:highlight w:val="none"/>
              </w:rPr>
              <w:t>①响应文件正本1份、副本3份。</w:t>
            </w:r>
          </w:p>
          <w:p>
            <w:pPr>
              <w:keepNext w:val="0"/>
              <w:keepLines w:val="0"/>
              <w:widowControl/>
              <w:suppressLineNumbers w:val="0"/>
              <w:spacing w:before="0" w:beforeAutospacing="0" w:after="0" w:afterAutospacing="0" w:line="500" w:lineRule="exact"/>
              <w:ind w:left="0" w:right="0" w:firstLine="105" w:firstLineChars="50"/>
              <w:jc w:val="left"/>
              <w:rPr>
                <w:rFonts w:hint="default" w:ascii="宋体" w:hAnsi="宋体" w:cs="宋体"/>
                <w:color w:val="auto"/>
                <w:kern w:val="0"/>
                <w:szCs w:val="21"/>
                <w:highlight w:val="none"/>
              </w:rPr>
            </w:pPr>
            <w:r>
              <w:rPr>
                <w:rFonts w:hint="eastAsia" w:ascii="宋体" w:hAnsi="宋体" w:cs="宋体"/>
                <w:color w:val="auto"/>
                <w:kern w:val="0"/>
                <w:szCs w:val="21"/>
                <w:highlight w:val="none"/>
              </w:rPr>
              <w:t>②可读介质（</w:t>
            </w:r>
            <w:r>
              <w:rPr>
                <w:rFonts w:hint="eastAsia" w:ascii="宋体" w:hAnsi="宋体" w:cs="宋体"/>
                <w:color w:val="auto"/>
                <w:szCs w:val="21"/>
                <w:highlight w:val="none"/>
              </w:rPr>
              <w:t>（光盘或U盘，无病毒，递交后概不退还）</w:t>
            </w:r>
            <w:r>
              <w:rPr>
                <w:rFonts w:hint="eastAsia" w:ascii="宋体" w:hAnsi="宋体" w:cs="宋体"/>
                <w:color w:val="auto"/>
                <w:kern w:val="0"/>
                <w:szCs w:val="21"/>
                <w:highlight w:val="none"/>
              </w:rPr>
              <w:t>）</w:t>
            </w:r>
            <w:r>
              <w:rPr>
                <w:rFonts w:hint="eastAsia" w:ascii="宋体" w:hAnsi="宋体" w:cs="宋体"/>
                <w:color w:val="auto"/>
                <w:kern w:val="0"/>
                <w:szCs w:val="21"/>
                <w:highlight w:val="none"/>
                <w:u w:val="single"/>
              </w:rPr>
              <w:t>1</w:t>
            </w:r>
            <w:r>
              <w:rPr>
                <w:rFonts w:hint="eastAsia" w:ascii="宋体" w:hAnsi="宋体" w:cs="宋体"/>
                <w:color w:val="auto"/>
                <w:kern w:val="0"/>
                <w:szCs w:val="21"/>
                <w:highlight w:val="none"/>
              </w:rPr>
              <w:t>份。</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rHeight w:val="650" w:hRule="atLeast"/>
          <w:tblCellSpacing w:w="15" w:type="dxa"/>
        </w:trPr>
        <w:tc>
          <w:tcPr>
            <w:tcW w:w="669" w:type="dxa"/>
            <w:tcBorders>
              <w:top w:val="single" w:color="000000" w:sz="6" w:space="0"/>
              <w:left w:val="single" w:color="000000" w:sz="6" w:space="0"/>
              <w:bottom w:val="single" w:color="000000" w:sz="6" w:space="0"/>
              <w:right w:val="single" w:color="000000" w:sz="6" w:space="0"/>
            </w:tcBorders>
            <w:tcMar>
              <w:top w:w="0" w:type="dxa"/>
              <w:left w:w="105" w:type="dxa"/>
              <w:bottom w:w="0" w:type="dxa"/>
              <w:right w:w="105" w:type="dxa"/>
            </w:tcMar>
            <w:vAlign w:val="center"/>
          </w:tcPr>
          <w:p>
            <w:pPr>
              <w:keepNext w:val="0"/>
              <w:keepLines w:val="0"/>
              <w:suppressLineNumbers w:val="0"/>
              <w:spacing w:before="0" w:beforeAutospacing="0" w:after="0" w:afterAutospacing="0" w:line="500" w:lineRule="exact"/>
              <w:ind w:left="0" w:right="0" w:firstLine="210" w:firstLineChars="100"/>
              <w:rPr>
                <w:rFonts w:hint="default" w:ascii="宋体" w:hAnsi="宋体" w:cs="宋体"/>
                <w:color w:val="auto"/>
                <w:kern w:val="0"/>
                <w:szCs w:val="21"/>
                <w:highlight w:val="none"/>
              </w:rPr>
            </w:pPr>
            <w:r>
              <w:rPr>
                <w:rFonts w:hint="eastAsia" w:ascii="宋体" w:hAnsi="宋体" w:cs="宋体"/>
                <w:color w:val="auto"/>
                <w:szCs w:val="21"/>
                <w:highlight w:val="none"/>
              </w:rPr>
              <w:t>7</w:t>
            </w:r>
          </w:p>
        </w:tc>
        <w:tc>
          <w:tcPr>
            <w:tcW w:w="949" w:type="dxa"/>
            <w:tcBorders>
              <w:top w:val="single" w:color="000000" w:sz="6" w:space="0"/>
              <w:left w:val="single" w:color="000000" w:sz="6" w:space="0"/>
              <w:bottom w:val="single" w:color="000000" w:sz="6" w:space="0"/>
              <w:right w:val="single" w:color="000000" w:sz="6" w:space="0"/>
            </w:tcBorders>
            <w:tcMar>
              <w:top w:w="0" w:type="dxa"/>
              <w:left w:w="105" w:type="dxa"/>
              <w:bottom w:w="0" w:type="dxa"/>
              <w:right w:w="105" w:type="dxa"/>
            </w:tcMar>
            <w:vAlign w:val="center"/>
          </w:tcPr>
          <w:p>
            <w:pPr>
              <w:keepNext w:val="0"/>
              <w:keepLines w:val="0"/>
              <w:suppressLineNumbers w:val="0"/>
              <w:spacing w:before="0" w:beforeAutospacing="0" w:after="0" w:afterAutospacing="0" w:line="500" w:lineRule="exact"/>
              <w:ind w:left="0" w:right="0"/>
              <w:rPr>
                <w:rFonts w:hint="default" w:ascii="宋体" w:hAnsi="宋体" w:cs="宋体"/>
                <w:color w:val="auto"/>
                <w:kern w:val="0"/>
                <w:szCs w:val="21"/>
                <w:highlight w:val="none"/>
              </w:rPr>
            </w:pPr>
          </w:p>
        </w:tc>
        <w:tc>
          <w:tcPr>
            <w:tcW w:w="8320" w:type="dxa"/>
            <w:tcBorders>
              <w:top w:val="single" w:color="000000" w:sz="6" w:space="0"/>
              <w:left w:val="single" w:color="000000" w:sz="6" w:space="0"/>
              <w:bottom w:val="single" w:color="000000" w:sz="6" w:space="0"/>
              <w:right w:val="single" w:color="000000" w:sz="6" w:space="0"/>
            </w:tcBorders>
            <w:tcMar>
              <w:top w:w="0" w:type="dxa"/>
              <w:left w:w="105" w:type="dxa"/>
              <w:bottom w:w="0" w:type="dxa"/>
              <w:right w:w="105" w:type="dxa"/>
            </w:tcMar>
            <w:vAlign w:val="center"/>
          </w:tcPr>
          <w:p>
            <w:pPr>
              <w:keepNext w:val="0"/>
              <w:keepLines w:val="0"/>
              <w:suppressLineNumbers w:val="0"/>
              <w:spacing w:before="0" w:beforeAutospacing="0" w:after="0" w:afterAutospacing="0" w:line="500" w:lineRule="exact"/>
              <w:ind w:left="0" w:right="0"/>
              <w:rPr>
                <w:rFonts w:hint="default" w:ascii="宋体" w:hAnsi="宋体" w:cs="宋体"/>
                <w:color w:val="auto"/>
                <w:kern w:val="0"/>
                <w:szCs w:val="21"/>
                <w:highlight w:val="none"/>
              </w:rPr>
            </w:pPr>
            <w:r>
              <w:rPr>
                <w:rFonts w:hint="eastAsia" w:ascii="宋体" w:hAnsi="宋体" w:cs="宋体"/>
                <w:b/>
                <w:bCs/>
                <w:color w:val="auto"/>
                <w:szCs w:val="21"/>
                <w:highlight w:val="none"/>
              </w:rPr>
              <w:t>是否允许成交人进行分包：</w:t>
            </w:r>
            <w:r>
              <w:rPr>
                <w:rFonts w:hint="eastAsia" w:ascii="宋体" w:hAnsi="宋体" w:cs="宋体"/>
                <w:color w:val="auto"/>
                <w:szCs w:val="21"/>
                <w:highlight w:val="none"/>
              </w:rPr>
              <w:t>不允许</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rHeight w:val="609" w:hRule="atLeast"/>
          <w:tblCellSpacing w:w="15" w:type="dxa"/>
        </w:trPr>
        <w:tc>
          <w:tcPr>
            <w:tcW w:w="669" w:type="dxa"/>
            <w:tcBorders>
              <w:top w:val="single" w:color="000000" w:sz="6" w:space="0"/>
              <w:left w:val="single" w:color="000000" w:sz="6" w:space="0"/>
              <w:bottom w:val="single" w:color="000000" w:sz="6" w:space="0"/>
              <w:right w:val="single" w:color="000000" w:sz="6" w:space="0"/>
            </w:tcBorders>
            <w:tcMar>
              <w:top w:w="0" w:type="dxa"/>
              <w:left w:w="105" w:type="dxa"/>
              <w:bottom w:w="0" w:type="dxa"/>
              <w:right w:w="105" w:type="dxa"/>
            </w:tcMar>
            <w:vAlign w:val="center"/>
          </w:tcPr>
          <w:p>
            <w:pPr>
              <w:keepNext w:val="0"/>
              <w:keepLines w:val="0"/>
              <w:suppressLineNumbers w:val="0"/>
              <w:spacing w:before="0" w:beforeAutospacing="0" w:after="0" w:afterAutospacing="0" w:line="500" w:lineRule="exact"/>
              <w:ind w:left="0" w:right="0"/>
              <w:rPr>
                <w:rFonts w:hint="default" w:ascii="宋体" w:hAnsi="宋体" w:cs="宋体"/>
                <w:color w:val="auto"/>
                <w:kern w:val="0"/>
                <w:szCs w:val="21"/>
                <w:highlight w:val="none"/>
              </w:rPr>
            </w:pPr>
            <w:r>
              <w:rPr>
                <w:rFonts w:hint="eastAsia" w:ascii="宋体" w:hAnsi="宋体" w:cs="宋体"/>
                <w:color w:val="auto"/>
                <w:szCs w:val="21"/>
                <w:highlight w:val="none"/>
              </w:rPr>
              <w:t> 8</w:t>
            </w:r>
          </w:p>
        </w:tc>
        <w:tc>
          <w:tcPr>
            <w:tcW w:w="949" w:type="dxa"/>
            <w:tcBorders>
              <w:top w:val="single" w:color="000000" w:sz="6" w:space="0"/>
              <w:left w:val="single" w:color="000000" w:sz="6" w:space="0"/>
              <w:bottom w:val="single" w:color="000000" w:sz="6" w:space="0"/>
              <w:right w:val="single" w:color="000000" w:sz="6" w:space="0"/>
            </w:tcBorders>
            <w:tcMar>
              <w:top w:w="0" w:type="dxa"/>
              <w:left w:w="105" w:type="dxa"/>
              <w:bottom w:w="0" w:type="dxa"/>
              <w:right w:w="105" w:type="dxa"/>
            </w:tcMar>
            <w:vAlign w:val="center"/>
          </w:tcPr>
          <w:p>
            <w:pPr>
              <w:keepNext w:val="0"/>
              <w:keepLines w:val="0"/>
              <w:suppressLineNumbers w:val="0"/>
              <w:spacing w:before="0" w:beforeAutospacing="0" w:after="0" w:afterAutospacing="0" w:line="500" w:lineRule="exact"/>
              <w:ind w:left="0" w:right="0"/>
              <w:rPr>
                <w:rFonts w:hint="default" w:ascii="宋体" w:hAnsi="宋体" w:cs="宋体"/>
                <w:color w:val="auto"/>
                <w:kern w:val="0"/>
                <w:szCs w:val="21"/>
                <w:highlight w:val="none"/>
              </w:rPr>
            </w:pPr>
          </w:p>
        </w:tc>
        <w:tc>
          <w:tcPr>
            <w:tcW w:w="8320" w:type="dxa"/>
            <w:tcBorders>
              <w:top w:val="single" w:color="000000" w:sz="6" w:space="0"/>
              <w:left w:val="single" w:color="000000" w:sz="6" w:space="0"/>
              <w:bottom w:val="single" w:color="000000" w:sz="6" w:space="0"/>
              <w:right w:val="single" w:color="000000" w:sz="6" w:space="0"/>
            </w:tcBorders>
            <w:tcMar>
              <w:top w:w="0" w:type="dxa"/>
              <w:left w:w="105" w:type="dxa"/>
              <w:bottom w:w="0" w:type="dxa"/>
              <w:right w:w="105" w:type="dxa"/>
            </w:tcMar>
            <w:vAlign w:val="center"/>
          </w:tcPr>
          <w:p>
            <w:pPr>
              <w:keepNext w:val="0"/>
              <w:keepLines w:val="0"/>
              <w:suppressLineNumbers w:val="0"/>
              <w:spacing w:before="0" w:beforeAutospacing="0" w:after="0" w:afterAutospacing="0" w:line="500" w:lineRule="exact"/>
              <w:ind w:left="0" w:right="0"/>
              <w:rPr>
                <w:rFonts w:hint="default" w:ascii="宋体" w:hAnsi="宋体" w:cs="宋体"/>
                <w:color w:val="auto"/>
                <w:kern w:val="0"/>
                <w:szCs w:val="21"/>
                <w:highlight w:val="none"/>
              </w:rPr>
            </w:pPr>
            <w:r>
              <w:rPr>
                <w:rFonts w:hint="eastAsia" w:ascii="宋体" w:hAnsi="宋体" w:cs="宋体"/>
                <w:color w:val="auto"/>
                <w:szCs w:val="21"/>
                <w:highlight w:val="none"/>
              </w:rPr>
              <w:t>本项目确定采购包1成交人数为1家</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rHeight w:val="1055" w:hRule="atLeast"/>
          <w:tblCellSpacing w:w="15" w:type="dxa"/>
        </w:trPr>
        <w:tc>
          <w:tcPr>
            <w:tcW w:w="669" w:type="dxa"/>
            <w:tcBorders>
              <w:top w:val="single" w:color="000000" w:sz="6" w:space="0"/>
              <w:left w:val="single" w:color="000000" w:sz="6" w:space="0"/>
              <w:bottom w:val="single" w:color="000000" w:sz="6" w:space="0"/>
              <w:right w:val="single" w:color="000000" w:sz="6" w:space="0"/>
            </w:tcBorders>
            <w:tcMar>
              <w:top w:w="0" w:type="dxa"/>
              <w:left w:w="105" w:type="dxa"/>
              <w:bottom w:w="0" w:type="dxa"/>
              <w:right w:w="105" w:type="dxa"/>
            </w:tcMar>
            <w:vAlign w:val="center"/>
          </w:tcPr>
          <w:p>
            <w:pPr>
              <w:keepNext w:val="0"/>
              <w:keepLines w:val="0"/>
              <w:widowControl/>
              <w:suppressLineNumbers w:val="0"/>
              <w:spacing w:before="0" w:beforeAutospacing="0" w:after="0" w:afterAutospacing="0" w:line="500" w:lineRule="exact"/>
              <w:ind w:left="0" w:right="0"/>
              <w:jc w:val="center"/>
              <w:rPr>
                <w:rFonts w:hint="default" w:ascii="宋体" w:hAnsi="宋体" w:cs="宋体"/>
                <w:color w:val="auto"/>
                <w:kern w:val="0"/>
                <w:szCs w:val="21"/>
                <w:highlight w:val="none"/>
              </w:rPr>
            </w:pPr>
            <w:r>
              <w:rPr>
                <w:rFonts w:hint="eastAsia" w:ascii="宋体" w:hAnsi="宋体" w:cs="宋体"/>
                <w:color w:val="auto"/>
                <w:kern w:val="0"/>
                <w:szCs w:val="21"/>
                <w:highlight w:val="none"/>
              </w:rPr>
              <w:t>9</w:t>
            </w:r>
          </w:p>
        </w:tc>
        <w:tc>
          <w:tcPr>
            <w:tcW w:w="949" w:type="dxa"/>
            <w:tcBorders>
              <w:top w:val="single" w:color="000000" w:sz="6" w:space="0"/>
              <w:left w:val="single" w:color="000000" w:sz="6" w:space="0"/>
              <w:bottom w:val="single" w:color="000000" w:sz="6" w:space="0"/>
              <w:right w:val="single" w:color="000000" w:sz="6" w:space="0"/>
            </w:tcBorders>
            <w:tcMar>
              <w:top w:w="0" w:type="dxa"/>
              <w:left w:w="105" w:type="dxa"/>
              <w:bottom w:w="0" w:type="dxa"/>
              <w:right w:w="105" w:type="dxa"/>
            </w:tcMar>
            <w:vAlign w:val="center"/>
          </w:tcPr>
          <w:p>
            <w:pPr>
              <w:keepNext w:val="0"/>
              <w:keepLines w:val="0"/>
              <w:widowControl/>
              <w:suppressLineNumbers w:val="0"/>
              <w:spacing w:before="0" w:beforeAutospacing="0" w:after="0" w:afterAutospacing="0" w:line="500" w:lineRule="exact"/>
              <w:ind w:left="0" w:right="0"/>
              <w:jc w:val="left"/>
              <w:rPr>
                <w:rFonts w:hint="default" w:ascii="宋体" w:hAnsi="宋体" w:cs="宋体"/>
                <w:color w:val="auto"/>
                <w:kern w:val="0"/>
                <w:szCs w:val="21"/>
                <w:highlight w:val="none"/>
              </w:rPr>
            </w:pPr>
            <w:r>
              <w:rPr>
                <w:rFonts w:hint="eastAsia" w:ascii="宋体" w:hAnsi="宋体" w:cs="宋体"/>
                <w:color w:val="auto"/>
                <w:kern w:val="0"/>
                <w:szCs w:val="21"/>
                <w:highlight w:val="none"/>
              </w:rPr>
              <w:t>14.4</w:t>
            </w:r>
          </w:p>
        </w:tc>
        <w:tc>
          <w:tcPr>
            <w:tcW w:w="8320" w:type="dxa"/>
            <w:tcBorders>
              <w:top w:val="single" w:color="000000" w:sz="6" w:space="0"/>
              <w:left w:val="single" w:color="000000" w:sz="6" w:space="0"/>
              <w:bottom w:val="single" w:color="000000" w:sz="6" w:space="0"/>
              <w:right w:val="single" w:color="000000" w:sz="6" w:space="0"/>
            </w:tcBorders>
            <w:tcMar>
              <w:top w:w="0" w:type="dxa"/>
              <w:left w:w="105" w:type="dxa"/>
              <w:bottom w:w="0" w:type="dxa"/>
              <w:right w:w="105" w:type="dxa"/>
            </w:tcMar>
          </w:tcPr>
          <w:p>
            <w:pPr>
              <w:keepNext w:val="0"/>
              <w:keepLines w:val="0"/>
              <w:widowControl/>
              <w:suppressLineNumbers w:val="0"/>
              <w:spacing w:before="0" w:beforeAutospacing="0" w:after="0" w:afterAutospacing="0" w:line="500" w:lineRule="exact"/>
              <w:ind w:left="0" w:right="0"/>
              <w:jc w:val="left"/>
              <w:rPr>
                <w:rFonts w:hint="default" w:ascii="宋体" w:hAnsi="宋体" w:cs="宋体"/>
                <w:color w:val="auto"/>
                <w:kern w:val="0"/>
                <w:szCs w:val="21"/>
                <w:highlight w:val="none"/>
              </w:rPr>
            </w:pPr>
            <w:r>
              <w:rPr>
                <w:rFonts w:hint="eastAsia" w:ascii="宋体" w:hAnsi="宋体" w:cs="宋体"/>
                <w:b/>
                <w:bCs/>
                <w:color w:val="auto"/>
                <w:kern w:val="0"/>
                <w:szCs w:val="21"/>
                <w:highlight w:val="none"/>
              </w:rPr>
              <w:t>磋商过程中可能发生实质性变动的内容：</w:t>
            </w:r>
          </w:p>
          <w:p>
            <w:pPr>
              <w:keepNext w:val="0"/>
              <w:keepLines w:val="0"/>
              <w:widowControl/>
              <w:suppressLineNumbers w:val="0"/>
              <w:spacing w:before="0" w:beforeAutospacing="0" w:after="0" w:afterAutospacing="0" w:line="500" w:lineRule="exact"/>
              <w:ind w:left="0" w:right="0"/>
              <w:jc w:val="left"/>
              <w:rPr>
                <w:rFonts w:hint="default" w:ascii="宋体" w:hAnsi="宋体" w:cs="宋体"/>
                <w:color w:val="auto"/>
                <w:kern w:val="0"/>
                <w:szCs w:val="21"/>
                <w:highlight w:val="none"/>
              </w:rPr>
            </w:pPr>
            <w:r>
              <w:rPr>
                <w:rFonts w:hint="eastAsia" w:ascii="宋体" w:hAnsi="宋体" w:cs="宋体"/>
                <w:color w:val="auto"/>
                <w:kern w:val="0"/>
                <w:szCs w:val="21"/>
                <w:highlight w:val="none"/>
              </w:rPr>
              <w:t>无。 </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rHeight w:val="1970" w:hRule="atLeast"/>
          <w:tblCellSpacing w:w="15" w:type="dxa"/>
        </w:trPr>
        <w:tc>
          <w:tcPr>
            <w:tcW w:w="669" w:type="dxa"/>
            <w:tcBorders>
              <w:top w:val="single" w:color="000000" w:sz="6" w:space="0"/>
              <w:left w:val="single" w:color="000000" w:sz="6" w:space="0"/>
              <w:bottom w:val="single" w:color="000000" w:sz="6" w:space="0"/>
              <w:right w:val="single" w:color="000000" w:sz="6" w:space="0"/>
            </w:tcBorders>
            <w:tcMar>
              <w:top w:w="0" w:type="dxa"/>
              <w:left w:w="105" w:type="dxa"/>
              <w:bottom w:w="0" w:type="dxa"/>
              <w:right w:w="105" w:type="dxa"/>
            </w:tcMar>
            <w:vAlign w:val="center"/>
          </w:tcPr>
          <w:p>
            <w:pPr>
              <w:keepNext w:val="0"/>
              <w:keepLines w:val="0"/>
              <w:widowControl/>
              <w:suppressLineNumbers w:val="0"/>
              <w:spacing w:before="0" w:beforeAutospacing="0" w:after="0" w:afterAutospacing="0" w:line="500" w:lineRule="exact"/>
              <w:ind w:left="0" w:right="0"/>
              <w:jc w:val="center"/>
              <w:rPr>
                <w:rFonts w:hint="default" w:ascii="宋体" w:hAnsi="宋体" w:cs="宋体"/>
                <w:color w:val="auto"/>
                <w:kern w:val="0"/>
                <w:szCs w:val="21"/>
                <w:highlight w:val="none"/>
              </w:rPr>
            </w:pPr>
            <w:r>
              <w:rPr>
                <w:rFonts w:hint="eastAsia" w:ascii="宋体" w:hAnsi="宋体" w:cs="宋体"/>
                <w:color w:val="auto"/>
                <w:kern w:val="0"/>
                <w:szCs w:val="21"/>
                <w:highlight w:val="none"/>
              </w:rPr>
              <w:t>10</w:t>
            </w:r>
          </w:p>
        </w:tc>
        <w:tc>
          <w:tcPr>
            <w:tcW w:w="949" w:type="dxa"/>
            <w:tcBorders>
              <w:top w:val="single" w:color="000000" w:sz="6" w:space="0"/>
              <w:left w:val="single" w:color="000000" w:sz="6" w:space="0"/>
              <w:bottom w:val="single" w:color="000000" w:sz="6" w:space="0"/>
              <w:right w:val="single" w:color="000000" w:sz="6" w:space="0"/>
            </w:tcBorders>
            <w:tcMar>
              <w:top w:w="0" w:type="dxa"/>
              <w:left w:w="105" w:type="dxa"/>
              <w:bottom w:w="0" w:type="dxa"/>
              <w:right w:w="105" w:type="dxa"/>
            </w:tcMar>
            <w:vAlign w:val="center"/>
          </w:tcPr>
          <w:p>
            <w:pPr>
              <w:keepNext w:val="0"/>
              <w:keepLines w:val="0"/>
              <w:widowControl/>
              <w:suppressLineNumbers w:val="0"/>
              <w:spacing w:before="0" w:beforeAutospacing="0" w:after="0" w:afterAutospacing="0" w:line="500" w:lineRule="exact"/>
              <w:ind w:left="0" w:right="0"/>
              <w:jc w:val="left"/>
              <w:rPr>
                <w:rFonts w:hint="default" w:ascii="宋体" w:hAnsi="宋体" w:cs="宋体"/>
                <w:color w:val="auto"/>
                <w:kern w:val="0"/>
                <w:szCs w:val="21"/>
                <w:highlight w:val="none"/>
              </w:rPr>
            </w:pPr>
            <w:r>
              <w:rPr>
                <w:rFonts w:hint="eastAsia" w:ascii="宋体" w:hAnsi="宋体" w:cs="宋体"/>
                <w:color w:val="auto"/>
                <w:kern w:val="0"/>
                <w:szCs w:val="21"/>
                <w:highlight w:val="none"/>
              </w:rPr>
              <w:t>22.2</w:t>
            </w:r>
          </w:p>
        </w:tc>
        <w:tc>
          <w:tcPr>
            <w:tcW w:w="8320" w:type="dxa"/>
            <w:tcBorders>
              <w:top w:val="single" w:color="000000" w:sz="6" w:space="0"/>
              <w:left w:val="single" w:color="000000" w:sz="6" w:space="0"/>
              <w:bottom w:val="single" w:color="000000" w:sz="6" w:space="0"/>
              <w:right w:val="single" w:color="000000" w:sz="6" w:space="0"/>
            </w:tcBorders>
            <w:tcMar>
              <w:top w:w="0" w:type="dxa"/>
              <w:left w:w="105" w:type="dxa"/>
              <w:bottom w:w="0" w:type="dxa"/>
              <w:right w:w="105" w:type="dxa"/>
            </w:tcMar>
          </w:tcPr>
          <w:p>
            <w:pPr>
              <w:keepNext w:val="0"/>
              <w:keepLines w:val="0"/>
              <w:widowControl/>
              <w:suppressLineNumbers w:val="0"/>
              <w:spacing w:before="0" w:beforeAutospacing="0" w:after="0" w:afterAutospacing="0" w:line="500" w:lineRule="exact"/>
              <w:ind w:left="0" w:right="0"/>
              <w:jc w:val="left"/>
              <w:rPr>
                <w:rFonts w:hint="default" w:ascii="宋体" w:hAnsi="宋体" w:cs="宋体"/>
                <w:color w:val="auto"/>
                <w:kern w:val="0"/>
                <w:szCs w:val="21"/>
                <w:highlight w:val="none"/>
              </w:rPr>
            </w:pPr>
            <w:r>
              <w:rPr>
                <w:rFonts w:hint="eastAsia" w:ascii="宋体" w:hAnsi="宋体" w:cs="宋体"/>
                <w:b/>
                <w:bCs/>
                <w:color w:val="auto"/>
                <w:kern w:val="0"/>
                <w:szCs w:val="21"/>
                <w:highlight w:val="none"/>
              </w:rPr>
              <w:t>信息公告指定媒体（以下简称：“指定媒体”）：</w:t>
            </w:r>
          </w:p>
          <w:p>
            <w:pPr>
              <w:keepNext w:val="0"/>
              <w:keepLines w:val="0"/>
              <w:widowControl/>
              <w:numPr>
                <w:ilvl w:val="0"/>
                <w:numId w:val="3"/>
              </w:numPr>
              <w:suppressLineNumbers w:val="0"/>
              <w:spacing w:before="0" w:beforeAutospacing="0" w:after="0" w:afterAutospacing="0" w:line="500" w:lineRule="exact"/>
              <w:ind w:left="0" w:right="0"/>
              <w:jc w:val="left"/>
              <w:rPr>
                <w:rFonts w:hint="default" w:ascii="宋体" w:hAnsi="宋体" w:cs="宋体"/>
                <w:color w:val="auto"/>
                <w:kern w:val="0"/>
                <w:szCs w:val="21"/>
                <w:highlight w:val="none"/>
              </w:rPr>
            </w:pPr>
            <w:r>
              <w:rPr>
                <w:rFonts w:hint="eastAsia" w:ascii="宋体" w:hAnsi="宋体" w:cs="宋体"/>
                <w:color w:val="auto"/>
                <w:kern w:val="0"/>
                <w:szCs w:val="21"/>
                <w:highlight w:val="none"/>
              </w:rPr>
              <w:t>中国政府采购网，网址www.ccgp.gov.cn。</w:t>
            </w:r>
          </w:p>
          <w:p>
            <w:pPr>
              <w:keepNext w:val="0"/>
              <w:keepLines w:val="0"/>
              <w:widowControl/>
              <w:suppressLineNumbers w:val="0"/>
              <w:spacing w:before="0" w:beforeAutospacing="0" w:after="0" w:afterAutospacing="0" w:line="500" w:lineRule="exact"/>
              <w:ind w:left="0" w:right="0"/>
              <w:jc w:val="left"/>
              <w:rPr>
                <w:rFonts w:hint="default" w:ascii="宋体" w:hAnsi="宋体" w:cs="宋体"/>
                <w:color w:val="auto"/>
                <w:kern w:val="0"/>
                <w:szCs w:val="21"/>
                <w:highlight w:val="none"/>
              </w:rPr>
            </w:pPr>
            <w:r>
              <w:rPr>
                <w:rFonts w:hint="eastAsia" w:ascii="宋体" w:hAnsi="宋体"/>
                <w:color w:val="auto"/>
                <w:szCs w:val="21"/>
                <w:highlight w:val="none"/>
              </w:rPr>
              <w:t>（2）</w:t>
            </w:r>
            <w:r>
              <w:rPr>
                <w:rFonts w:hint="eastAsia" w:ascii="宋体" w:hAnsi="宋体" w:cs="宋体"/>
                <w:color w:val="auto"/>
                <w:kern w:val="0"/>
                <w:szCs w:val="21"/>
                <w:highlight w:val="none"/>
              </w:rPr>
              <w:t>宁德市有信产权交易服务有限公司网站，网址www.ndcqjy.com。</w:t>
            </w:r>
          </w:p>
          <w:p>
            <w:pPr>
              <w:keepNext w:val="0"/>
              <w:keepLines w:val="0"/>
              <w:widowControl/>
              <w:suppressLineNumbers w:val="0"/>
              <w:spacing w:before="0" w:beforeAutospacing="0" w:after="0" w:afterAutospacing="0" w:line="500" w:lineRule="exact"/>
              <w:ind w:left="0" w:right="0"/>
              <w:jc w:val="left"/>
              <w:rPr>
                <w:rFonts w:hint="default" w:ascii="宋体" w:hAnsi="宋体" w:cs="宋体"/>
                <w:color w:val="auto"/>
                <w:kern w:val="0"/>
                <w:szCs w:val="21"/>
                <w:highlight w:val="none"/>
              </w:rPr>
            </w:pPr>
            <w:r>
              <w:rPr>
                <w:rFonts w:hint="eastAsia" w:ascii="宋体" w:hAnsi="宋体" w:cs="宋体"/>
                <w:b/>
                <w:bCs/>
                <w:color w:val="auto"/>
                <w:kern w:val="0"/>
                <w:szCs w:val="21"/>
                <w:highlight w:val="none"/>
              </w:rPr>
              <w:t>※上述指定媒体的有关信息若不一致，应以中国政府采购网发布的为准。</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rHeight w:val="585" w:hRule="atLeast"/>
          <w:tblCellSpacing w:w="15" w:type="dxa"/>
        </w:trPr>
        <w:tc>
          <w:tcPr>
            <w:tcW w:w="669" w:type="dxa"/>
            <w:tcBorders>
              <w:top w:val="single" w:color="000000" w:sz="6" w:space="0"/>
              <w:left w:val="single" w:color="000000" w:sz="6" w:space="0"/>
              <w:bottom w:val="single" w:color="000000" w:sz="6" w:space="0"/>
              <w:right w:val="single" w:color="000000" w:sz="6" w:space="0"/>
            </w:tcBorders>
            <w:tcMar>
              <w:top w:w="0" w:type="dxa"/>
              <w:left w:w="105" w:type="dxa"/>
              <w:bottom w:w="0" w:type="dxa"/>
              <w:right w:w="105" w:type="dxa"/>
            </w:tcMar>
            <w:vAlign w:val="center"/>
          </w:tcPr>
          <w:p>
            <w:pPr>
              <w:keepNext w:val="0"/>
              <w:keepLines w:val="0"/>
              <w:widowControl/>
              <w:suppressLineNumbers w:val="0"/>
              <w:spacing w:before="0" w:beforeAutospacing="0" w:after="0" w:afterAutospacing="0" w:line="500" w:lineRule="exact"/>
              <w:ind w:left="0" w:right="0"/>
              <w:jc w:val="center"/>
              <w:rPr>
                <w:rFonts w:hint="default" w:ascii="宋体" w:hAnsi="宋体" w:cs="宋体"/>
                <w:color w:val="auto"/>
                <w:kern w:val="0"/>
                <w:szCs w:val="21"/>
                <w:highlight w:val="none"/>
              </w:rPr>
            </w:pPr>
            <w:r>
              <w:rPr>
                <w:rFonts w:hint="eastAsia" w:ascii="宋体" w:hAnsi="宋体" w:cs="宋体"/>
                <w:color w:val="auto"/>
                <w:kern w:val="0"/>
                <w:szCs w:val="21"/>
                <w:highlight w:val="none"/>
              </w:rPr>
              <w:t>11</w:t>
            </w:r>
          </w:p>
        </w:tc>
        <w:tc>
          <w:tcPr>
            <w:tcW w:w="949" w:type="dxa"/>
            <w:tcBorders>
              <w:top w:val="single" w:color="000000" w:sz="6" w:space="0"/>
              <w:left w:val="single" w:color="000000" w:sz="6" w:space="0"/>
              <w:bottom w:val="single" w:color="000000" w:sz="6" w:space="0"/>
              <w:right w:val="single" w:color="000000" w:sz="6" w:space="0"/>
            </w:tcBorders>
            <w:tcMar>
              <w:top w:w="0" w:type="dxa"/>
              <w:left w:w="105" w:type="dxa"/>
              <w:bottom w:w="0" w:type="dxa"/>
              <w:right w:w="105" w:type="dxa"/>
            </w:tcMar>
            <w:vAlign w:val="center"/>
          </w:tcPr>
          <w:p>
            <w:pPr>
              <w:keepNext w:val="0"/>
              <w:keepLines w:val="0"/>
              <w:widowControl/>
              <w:suppressLineNumbers w:val="0"/>
              <w:spacing w:before="0" w:beforeAutospacing="0" w:after="0" w:afterAutospacing="0" w:line="500" w:lineRule="exact"/>
              <w:ind w:left="0" w:right="0"/>
              <w:jc w:val="left"/>
              <w:rPr>
                <w:rFonts w:hint="default" w:ascii="宋体" w:hAnsi="宋体" w:cs="宋体"/>
                <w:color w:val="auto"/>
                <w:kern w:val="0"/>
                <w:szCs w:val="21"/>
                <w:highlight w:val="none"/>
              </w:rPr>
            </w:pPr>
            <w:r>
              <w:rPr>
                <w:rFonts w:hint="eastAsia" w:ascii="宋体" w:hAnsi="宋体" w:cs="宋体"/>
                <w:color w:val="auto"/>
                <w:kern w:val="0"/>
                <w:szCs w:val="21"/>
                <w:highlight w:val="none"/>
              </w:rPr>
              <w:t>23.1</w:t>
            </w:r>
          </w:p>
        </w:tc>
        <w:tc>
          <w:tcPr>
            <w:tcW w:w="8320" w:type="dxa"/>
            <w:tcBorders>
              <w:top w:val="single" w:color="000000" w:sz="6" w:space="0"/>
              <w:left w:val="single" w:color="000000" w:sz="6" w:space="0"/>
              <w:bottom w:val="single" w:color="000000" w:sz="6" w:space="0"/>
              <w:right w:val="single" w:color="000000" w:sz="6" w:space="0"/>
            </w:tcBorders>
            <w:tcMar>
              <w:top w:w="0" w:type="dxa"/>
              <w:left w:w="105" w:type="dxa"/>
              <w:bottom w:w="0" w:type="dxa"/>
              <w:right w:w="105" w:type="dxa"/>
            </w:tcMar>
            <w:vAlign w:val="center"/>
          </w:tcPr>
          <w:p>
            <w:pPr>
              <w:keepNext w:val="0"/>
              <w:keepLines w:val="0"/>
              <w:widowControl/>
              <w:suppressLineNumbers w:val="0"/>
              <w:spacing w:before="0" w:beforeAutospacing="0" w:after="0" w:afterAutospacing="0" w:line="500" w:lineRule="exact"/>
              <w:ind w:left="0" w:right="0"/>
              <w:jc w:val="left"/>
              <w:rPr>
                <w:rFonts w:hint="default" w:ascii="宋体" w:hAnsi="宋体" w:cs="宋体"/>
                <w:color w:val="auto"/>
                <w:kern w:val="0"/>
                <w:szCs w:val="21"/>
                <w:highlight w:val="none"/>
              </w:rPr>
            </w:pPr>
            <w:r>
              <w:rPr>
                <w:rFonts w:hint="eastAsia" w:ascii="宋体" w:hAnsi="宋体" w:cs="宋体"/>
                <w:b/>
                <w:bCs/>
                <w:color w:val="auto"/>
                <w:kern w:val="0"/>
                <w:szCs w:val="21"/>
                <w:highlight w:val="none"/>
              </w:rPr>
              <w:t>本项目监督管理部门：</w:t>
            </w:r>
            <w:r>
              <w:rPr>
                <w:rFonts w:hint="eastAsia" w:ascii="宋体" w:hAnsi="宋体" w:cs="宋体"/>
                <w:color w:val="auto"/>
                <w:kern w:val="0"/>
                <w:szCs w:val="21"/>
                <w:highlight w:val="none"/>
              </w:rPr>
              <w:t>采购单位监督部门。</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rHeight w:val="585" w:hRule="atLeast"/>
          <w:tblCellSpacing w:w="15" w:type="dxa"/>
        </w:trPr>
        <w:tc>
          <w:tcPr>
            <w:tcW w:w="669" w:type="dxa"/>
            <w:tcBorders>
              <w:top w:val="single" w:color="000000" w:sz="6" w:space="0"/>
              <w:left w:val="single" w:color="000000" w:sz="6" w:space="0"/>
              <w:bottom w:val="single" w:color="000000" w:sz="6" w:space="0"/>
              <w:right w:val="single" w:color="000000" w:sz="6" w:space="0"/>
            </w:tcBorders>
            <w:tcMar>
              <w:top w:w="0" w:type="dxa"/>
              <w:left w:w="105" w:type="dxa"/>
              <w:bottom w:w="0" w:type="dxa"/>
              <w:right w:w="105" w:type="dxa"/>
            </w:tcMar>
            <w:vAlign w:val="center"/>
          </w:tcPr>
          <w:p>
            <w:pPr>
              <w:keepNext w:val="0"/>
              <w:keepLines w:val="0"/>
              <w:suppressLineNumbers w:val="0"/>
              <w:spacing w:before="0" w:beforeAutospacing="0" w:after="0" w:afterAutospacing="0" w:line="500" w:lineRule="exact"/>
              <w:ind w:left="0" w:right="0"/>
              <w:jc w:val="center"/>
              <w:rPr>
                <w:rFonts w:hint="default" w:ascii="宋体" w:hAnsi="宋体" w:cs="宋体"/>
                <w:color w:val="auto"/>
                <w:kern w:val="0"/>
                <w:szCs w:val="21"/>
                <w:highlight w:val="none"/>
              </w:rPr>
            </w:pPr>
            <w:r>
              <w:rPr>
                <w:rFonts w:hint="eastAsia" w:ascii="宋体" w:hAnsi="宋体" w:cs="宋体"/>
                <w:color w:val="auto"/>
                <w:szCs w:val="21"/>
                <w:highlight w:val="none"/>
              </w:rPr>
              <w:t>12</w:t>
            </w:r>
          </w:p>
        </w:tc>
        <w:tc>
          <w:tcPr>
            <w:tcW w:w="949" w:type="dxa"/>
            <w:tcBorders>
              <w:top w:val="single" w:color="000000" w:sz="6" w:space="0"/>
              <w:left w:val="single" w:color="000000" w:sz="6" w:space="0"/>
              <w:bottom w:val="single" w:color="000000" w:sz="6" w:space="0"/>
              <w:right w:val="single" w:color="000000" w:sz="6" w:space="0"/>
            </w:tcBorders>
            <w:tcMar>
              <w:top w:w="0" w:type="dxa"/>
              <w:left w:w="105" w:type="dxa"/>
              <w:bottom w:w="0" w:type="dxa"/>
              <w:right w:w="105" w:type="dxa"/>
            </w:tcMar>
            <w:vAlign w:val="center"/>
          </w:tcPr>
          <w:p>
            <w:pPr>
              <w:keepNext w:val="0"/>
              <w:keepLines w:val="0"/>
              <w:suppressLineNumbers w:val="0"/>
              <w:spacing w:before="0" w:beforeAutospacing="0" w:after="0" w:afterAutospacing="0" w:line="500" w:lineRule="exact"/>
              <w:ind w:left="0" w:right="0"/>
              <w:rPr>
                <w:rFonts w:hint="default" w:ascii="宋体" w:hAnsi="宋体" w:cs="宋体"/>
                <w:color w:val="auto"/>
                <w:kern w:val="0"/>
                <w:szCs w:val="21"/>
                <w:highlight w:val="none"/>
              </w:rPr>
            </w:pPr>
          </w:p>
        </w:tc>
        <w:tc>
          <w:tcPr>
            <w:tcW w:w="8320" w:type="dxa"/>
            <w:tcBorders>
              <w:top w:val="single" w:color="000000" w:sz="6" w:space="0"/>
              <w:left w:val="single" w:color="000000" w:sz="6" w:space="0"/>
              <w:bottom w:val="single" w:color="000000" w:sz="6" w:space="0"/>
              <w:right w:val="single" w:color="000000" w:sz="6" w:space="0"/>
            </w:tcBorders>
            <w:tcMar>
              <w:top w:w="0" w:type="dxa"/>
              <w:left w:w="105" w:type="dxa"/>
              <w:bottom w:w="0" w:type="dxa"/>
              <w:right w:w="105" w:type="dxa"/>
            </w:tcMar>
            <w:vAlign w:val="center"/>
          </w:tcPr>
          <w:p>
            <w:pPr>
              <w:keepNext w:val="0"/>
              <w:keepLines w:val="0"/>
              <w:suppressLineNumbers w:val="0"/>
              <w:spacing w:before="0" w:beforeAutospacing="0" w:after="0" w:afterAutospacing="0" w:line="500" w:lineRule="exact"/>
              <w:ind w:left="0" w:right="0"/>
              <w:rPr>
                <w:rFonts w:hint="default" w:ascii="宋体" w:hAnsi="宋体" w:cs="宋体"/>
                <w:b/>
                <w:bCs/>
                <w:color w:val="auto"/>
                <w:szCs w:val="21"/>
                <w:highlight w:val="none"/>
              </w:rPr>
            </w:pPr>
            <w:r>
              <w:rPr>
                <w:rFonts w:hint="eastAsia" w:ascii="宋体" w:hAnsi="宋体" w:cs="宋体"/>
                <w:b/>
                <w:bCs/>
                <w:color w:val="auto"/>
                <w:szCs w:val="21"/>
                <w:highlight w:val="none"/>
              </w:rPr>
              <w:t>最高限价：</w:t>
            </w:r>
          </w:p>
          <w:p>
            <w:pPr>
              <w:keepNext w:val="0"/>
              <w:keepLines w:val="0"/>
              <w:suppressLineNumbers w:val="0"/>
              <w:spacing w:before="0" w:beforeAutospacing="0" w:after="0" w:afterAutospacing="0" w:line="500" w:lineRule="exact"/>
              <w:ind w:left="0" w:right="0" w:firstLine="420" w:firstLineChars="200"/>
              <w:rPr>
                <w:rFonts w:hint="default" w:ascii="宋体" w:hAnsi="宋体" w:cs="宋体"/>
                <w:b/>
                <w:bCs/>
                <w:color w:val="auto"/>
                <w:kern w:val="0"/>
                <w:szCs w:val="21"/>
                <w:highlight w:val="none"/>
              </w:rPr>
            </w:pPr>
            <w:r>
              <w:rPr>
                <w:rFonts w:hint="eastAsia" w:ascii="宋体" w:hAnsi="宋体" w:cs="宋体"/>
                <w:color w:val="auto"/>
                <w:szCs w:val="21"/>
                <w:highlight w:val="none"/>
              </w:rPr>
              <w:t>本项目采购包一采购人预算价详见《采购标的一览表》，如供应商的报价超过最高限价的报价视为无效报价。供应商可依据市场行情和自身情况，自由竞价</w:t>
            </w:r>
            <w:r>
              <w:rPr>
                <w:rFonts w:hint="eastAsia" w:ascii="宋体" w:hAnsi="宋体" w:cs="宋体"/>
                <w:bCs/>
                <w:color w:val="auto"/>
                <w:szCs w:val="21"/>
                <w:highlight w:val="none"/>
              </w:rPr>
              <w:t>。</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rHeight w:val="1055" w:hRule="atLeast"/>
          <w:tblCellSpacing w:w="15" w:type="dxa"/>
        </w:trPr>
        <w:tc>
          <w:tcPr>
            <w:tcW w:w="669" w:type="dxa"/>
            <w:tcBorders>
              <w:top w:val="single" w:color="000000" w:sz="6" w:space="0"/>
              <w:left w:val="single" w:color="000000" w:sz="6" w:space="0"/>
              <w:bottom w:val="single" w:color="000000" w:sz="6" w:space="0"/>
              <w:right w:val="single" w:color="000000" w:sz="6" w:space="0"/>
            </w:tcBorders>
            <w:tcMar>
              <w:top w:w="0" w:type="dxa"/>
              <w:left w:w="105" w:type="dxa"/>
              <w:bottom w:w="0" w:type="dxa"/>
              <w:right w:w="105" w:type="dxa"/>
            </w:tcMar>
            <w:vAlign w:val="center"/>
          </w:tcPr>
          <w:p>
            <w:pPr>
              <w:keepNext w:val="0"/>
              <w:keepLines w:val="0"/>
              <w:widowControl/>
              <w:suppressLineNumbers w:val="0"/>
              <w:spacing w:before="0" w:beforeAutospacing="0" w:after="0" w:afterAutospacing="0" w:line="500" w:lineRule="exact"/>
              <w:ind w:left="0" w:right="0"/>
              <w:jc w:val="center"/>
              <w:rPr>
                <w:rFonts w:hint="default" w:ascii="宋体" w:hAnsi="宋体" w:cs="宋体"/>
                <w:color w:val="auto"/>
                <w:kern w:val="0"/>
                <w:szCs w:val="21"/>
                <w:highlight w:val="none"/>
              </w:rPr>
            </w:pPr>
            <w:r>
              <w:rPr>
                <w:rFonts w:hint="eastAsia" w:ascii="宋体" w:hAnsi="宋体" w:cs="宋体"/>
                <w:color w:val="auto"/>
                <w:kern w:val="0"/>
                <w:szCs w:val="21"/>
                <w:highlight w:val="none"/>
              </w:rPr>
              <w:t>13</w:t>
            </w:r>
          </w:p>
        </w:tc>
        <w:tc>
          <w:tcPr>
            <w:tcW w:w="949" w:type="dxa"/>
            <w:tcBorders>
              <w:top w:val="single" w:color="000000" w:sz="6" w:space="0"/>
              <w:left w:val="single" w:color="000000" w:sz="6" w:space="0"/>
              <w:bottom w:val="single" w:color="000000" w:sz="6" w:space="0"/>
              <w:right w:val="single" w:color="000000" w:sz="6" w:space="0"/>
            </w:tcBorders>
            <w:tcMar>
              <w:top w:w="0" w:type="dxa"/>
              <w:left w:w="105" w:type="dxa"/>
              <w:bottom w:w="0" w:type="dxa"/>
              <w:right w:w="105" w:type="dxa"/>
            </w:tcMar>
            <w:vAlign w:val="center"/>
          </w:tcPr>
          <w:p>
            <w:pPr>
              <w:keepNext w:val="0"/>
              <w:keepLines w:val="0"/>
              <w:widowControl/>
              <w:suppressLineNumbers w:val="0"/>
              <w:spacing w:before="0" w:beforeAutospacing="0" w:after="0" w:afterAutospacing="0" w:line="500" w:lineRule="exact"/>
              <w:ind w:left="0" w:right="0"/>
              <w:jc w:val="left"/>
              <w:rPr>
                <w:rFonts w:hint="default" w:ascii="宋体" w:hAnsi="宋体" w:cs="宋体"/>
                <w:color w:val="auto"/>
                <w:kern w:val="0"/>
                <w:szCs w:val="21"/>
                <w:highlight w:val="none"/>
              </w:rPr>
            </w:pPr>
            <w:r>
              <w:rPr>
                <w:rFonts w:hint="eastAsia" w:ascii="宋体" w:hAnsi="宋体" w:cs="宋体"/>
                <w:color w:val="auto"/>
                <w:kern w:val="0"/>
                <w:szCs w:val="21"/>
                <w:highlight w:val="none"/>
              </w:rPr>
              <w:t>24.1</w:t>
            </w:r>
          </w:p>
        </w:tc>
        <w:tc>
          <w:tcPr>
            <w:tcW w:w="8320" w:type="dxa"/>
            <w:tcBorders>
              <w:top w:val="single" w:color="000000" w:sz="6" w:space="0"/>
              <w:left w:val="single" w:color="000000" w:sz="6" w:space="0"/>
              <w:bottom w:val="single" w:color="000000" w:sz="6" w:space="0"/>
              <w:right w:val="single" w:color="000000" w:sz="6" w:space="0"/>
            </w:tcBorders>
            <w:tcMar>
              <w:top w:w="0" w:type="dxa"/>
              <w:left w:w="105" w:type="dxa"/>
              <w:bottom w:w="0" w:type="dxa"/>
              <w:right w:w="105" w:type="dxa"/>
            </w:tcMar>
            <w:vAlign w:val="center"/>
          </w:tcPr>
          <w:p>
            <w:pPr>
              <w:keepNext w:val="0"/>
              <w:keepLines w:val="0"/>
              <w:widowControl/>
              <w:suppressLineNumbers w:val="0"/>
              <w:spacing w:before="0" w:beforeAutospacing="0" w:after="0" w:afterAutospacing="0" w:line="500" w:lineRule="exact"/>
              <w:ind w:left="0" w:right="0"/>
              <w:jc w:val="left"/>
              <w:rPr>
                <w:rFonts w:hint="default" w:ascii="宋体" w:hAnsi="宋体" w:cs="宋体"/>
                <w:color w:val="auto"/>
                <w:kern w:val="0"/>
                <w:szCs w:val="21"/>
                <w:highlight w:val="none"/>
              </w:rPr>
            </w:pPr>
            <w:r>
              <w:rPr>
                <w:rFonts w:hint="eastAsia" w:ascii="宋体" w:hAnsi="宋体" w:cs="宋体"/>
                <w:b/>
                <w:bCs/>
                <w:color w:val="auto"/>
                <w:kern w:val="0"/>
                <w:szCs w:val="21"/>
                <w:highlight w:val="none"/>
              </w:rPr>
              <w:t>履约保证金：</w:t>
            </w:r>
          </w:p>
          <w:p>
            <w:pPr>
              <w:keepNext w:val="0"/>
              <w:keepLines w:val="0"/>
              <w:widowControl/>
              <w:suppressLineNumbers w:val="0"/>
              <w:spacing w:before="0" w:beforeAutospacing="0" w:after="0" w:afterAutospacing="0" w:line="500" w:lineRule="exact"/>
              <w:ind w:left="0" w:right="0" w:firstLine="420" w:firstLineChars="200"/>
              <w:jc w:val="left"/>
              <w:rPr>
                <w:rFonts w:hint="default" w:ascii="宋体" w:hAnsi="宋体" w:cs="宋体"/>
                <w:color w:val="auto"/>
                <w:szCs w:val="21"/>
                <w:highlight w:val="none"/>
              </w:rPr>
            </w:pPr>
            <w:r>
              <w:rPr>
                <w:rFonts w:hint="eastAsia" w:ascii="宋体" w:hAnsi="宋体" w:cs="宋体"/>
                <w:color w:val="auto"/>
                <w:szCs w:val="21"/>
                <w:highlight w:val="none"/>
              </w:rPr>
              <w:t>具体要求详见第三章《采购内容及要求》。</w:t>
            </w:r>
          </w:p>
          <w:p>
            <w:pPr>
              <w:keepNext w:val="0"/>
              <w:keepLines w:val="0"/>
              <w:widowControl/>
              <w:suppressLineNumbers w:val="0"/>
              <w:spacing w:before="0" w:beforeAutospacing="0" w:after="0" w:afterAutospacing="0" w:line="500" w:lineRule="exact"/>
              <w:ind w:left="0" w:right="0" w:firstLine="420" w:firstLineChars="200"/>
              <w:jc w:val="left"/>
              <w:rPr>
                <w:rFonts w:hint="default" w:ascii="宋体" w:hAnsi="宋体" w:cs="宋体"/>
                <w:color w:val="auto"/>
                <w:kern w:val="0"/>
                <w:szCs w:val="21"/>
                <w:highlight w:val="none"/>
              </w:rPr>
            </w:pPr>
            <w:r>
              <w:rPr>
                <w:rFonts w:hint="eastAsia" w:ascii="宋体" w:hAnsi="宋体" w:cs="宋体"/>
                <w:color w:val="auto"/>
                <w:szCs w:val="21"/>
                <w:highlight w:val="none"/>
              </w:rPr>
              <w:t>说明：收取履约保证金的，成交人应在签订采购合同时，向采购人提交履约保证金；双方并在采购合同中约定履约保证金退还的方式、时间、条件和不予退还的情形，明确逾期退还履约保证金的违约责任。</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rHeight w:val="1055" w:hRule="atLeast"/>
          <w:tblCellSpacing w:w="15" w:type="dxa"/>
        </w:trPr>
        <w:tc>
          <w:tcPr>
            <w:tcW w:w="669" w:type="dxa"/>
            <w:tcBorders>
              <w:top w:val="single" w:color="000000" w:sz="6" w:space="0"/>
              <w:left w:val="single" w:color="000000" w:sz="6" w:space="0"/>
              <w:bottom w:val="single" w:color="000000" w:sz="6" w:space="0"/>
              <w:right w:val="single" w:color="000000" w:sz="6" w:space="0"/>
            </w:tcBorders>
            <w:tcMar>
              <w:top w:w="0" w:type="dxa"/>
              <w:left w:w="105" w:type="dxa"/>
              <w:bottom w:w="0" w:type="dxa"/>
              <w:right w:w="105" w:type="dxa"/>
            </w:tcMar>
            <w:vAlign w:val="center"/>
          </w:tcPr>
          <w:p>
            <w:pPr>
              <w:keepNext w:val="0"/>
              <w:keepLines w:val="0"/>
              <w:widowControl/>
              <w:suppressLineNumbers w:val="0"/>
              <w:spacing w:before="0" w:beforeAutospacing="0" w:after="0" w:afterAutospacing="0" w:line="500" w:lineRule="exact"/>
              <w:ind w:left="0" w:right="0"/>
              <w:jc w:val="center"/>
              <w:rPr>
                <w:rFonts w:hint="default" w:ascii="宋体" w:hAnsi="宋体" w:cs="宋体"/>
                <w:color w:val="auto"/>
                <w:kern w:val="0"/>
                <w:szCs w:val="21"/>
                <w:highlight w:val="none"/>
              </w:rPr>
            </w:pPr>
            <w:r>
              <w:rPr>
                <w:rFonts w:hint="eastAsia" w:ascii="宋体" w:hAnsi="宋体" w:cs="宋体"/>
                <w:color w:val="auto"/>
                <w:kern w:val="0"/>
                <w:szCs w:val="21"/>
                <w:highlight w:val="none"/>
              </w:rPr>
              <w:t>14</w:t>
            </w:r>
          </w:p>
        </w:tc>
        <w:tc>
          <w:tcPr>
            <w:tcW w:w="949" w:type="dxa"/>
            <w:tcBorders>
              <w:top w:val="single" w:color="000000" w:sz="6" w:space="0"/>
              <w:left w:val="single" w:color="000000" w:sz="6" w:space="0"/>
              <w:bottom w:val="single" w:color="000000" w:sz="6" w:space="0"/>
              <w:right w:val="single" w:color="000000" w:sz="6" w:space="0"/>
            </w:tcBorders>
            <w:tcMar>
              <w:top w:w="0" w:type="dxa"/>
              <w:left w:w="105" w:type="dxa"/>
              <w:bottom w:w="0" w:type="dxa"/>
              <w:right w:w="105" w:type="dxa"/>
            </w:tcMar>
            <w:vAlign w:val="center"/>
          </w:tcPr>
          <w:p>
            <w:pPr>
              <w:keepNext w:val="0"/>
              <w:keepLines w:val="0"/>
              <w:widowControl/>
              <w:suppressLineNumbers w:val="0"/>
              <w:spacing w:before="0" w:beforeAutospacing="0" w:after="0" w:afterAutospacing="0" w:line="500" w:lineRule="exact"/>
              <w:ind w:left="0" w:right="0"/>
              <w:jc w:val="left"/>
              <w:rPr>
                <w:rFonts w:hint="default" w:ascii="宋体" w:hAnsi="宋体" w:cs="宋体"/>
                <w:color w:val="auto"/>
                <w:kern w:val="0"/>
                <w:szCs w:val="21"/>
                <w:highlight w:val="none"/>
              </w:rPr>
            </w:pPr>
          </w:p>
        </w:tc>
        <w:tc>
          <w:tcPr>
            <w:tcW w:w="8320" w:type="dxa"/>
            <w:tcBorders>
              <w:top w:val="single" w:color="000000" w:sz="6" w:space="0"/>
              <w:left w:val="single" w:color="000000" w:sz="6" w:space="0"/>
              <w:bottom w:val="single" w:color="000000" w:sz="6" w:space="0"/>
              <w:right w:val="single" w:color="000000" w:sz="6" w:space="0"/>
            </w:tcBorders>
            <w:tcMar>
              <w:top w:w="0" w:type="dxa"/>
              <w:left w:w="105" w:type="dxa"/>
              <w:bottom w:w="0" w:type="dxa"/>
              <w:right w:w="105" w:type="dxa"/>
            </w:tcMar>
            <w:vAlign w:val="center"/>
          </w:tcPr>
          <w:p>
            <w:pPr>
              <w:keepNext w:val="0"/>
              <w:keepLines w:val="0"/>
              <w:suppressLineNumbers w:val="0"/>
              <w:spacing w:before="0" w:beforeAutospacing="0" w:after="0" w:afterAutospacing="0" w:line="500" w:lineRule="exact"/>
              <w:ind w:left="0" w:right="0"/>
              <w:rPr>
                <w:rFonts w:hint="default" w:ascii="宋体" w:hAnsi="宋体" w:cs="宋体"/>
                <w:color w:val="auto"/>
                <w:szCs w:val="21"/>
                <w:highlight w:val="none"/>
              </w:rPr>
            </w:pPr>
            <w:r>
              <w:rPr>
                <w:rFonts w:hint="eastAsia" w:ascii="宋体" w:hAnsi="宋体" w:cs="宋体"/>
                <w:b/>
                <w:bCs/>
                <w:color w:val="auto"/>
                <w:szCs w:val="21"/>
                <w:highlight w:val="none"/>
              </w:rPr>
              <w:t>（响应）报价无效条款：</w:t>
            </w:r>
          </w:p>
          <w:p>
            <w:pPr>
              <w:keepNext w:val="0"/>
              <w:keepLines w:val="0"/>
              <w:suppressLineNumbers w:val="0"/>
              <w:spacing w:before="0" w:beforeAutospacing="0" w:after="0" w:afterAutospacing="0" w:line="500" w:lineRule="exact"/>
              <w:ind w:left="0" w:right="0"/>
              <w:rPr>
                <w:rFonts w:hint="default" w:ascii="宋体" w:hAnsi="宋体" w:cs="宋体"/>
                <w:color w:val="auto"/>
                <w:szCs w:val="21"/>
                <w:highlight w:val="none"/>
              </w:rPr>
            </w:pPr>
            <w:r>
              <w:rPr>
                <w:rFonts w:hint="eastAsia" w:ascii="宋体" w:hAnsi="宋体" w:cs="宋体"/>
                <w:color w:val="auto"/>
                <w:szCs w:val="21"/>
                <w:highlight w:val="none"/>
              </w:rPr>
              <w:t>（1）本章表1报价（响应）无效的规定；</w:t>
            </w:r>
          </w:p>
          <w:p>
            <w:pPr>
              <w:keepNext w:val="0"/>
              <w:keepLines w:val="0"/>
              <w:suppressLineNumbers w:val="0"/>
              <w:spacing w:before="0" w:beforeAutospacing="0" w:after="0" w:afterAutospacing="0" w:line="500" w:lineRule="exact"/>
              <w:ind w:left="0" w:right="0"/>
              <w:rPr>
                <w:rFonts w:hint="default" w:ascii="宋体" w:hAnsi="宋体" w:cs="宋体"/>
                <w:color w:val="auto"/>
                <w:szCs w:val="21"/>
                <w:highlight w:val="none"/>
              </w:rPr>
            </w:pPr>
            <w:r>
              <w:rPr>
                <w:rFonts w:hint="eastAsia" w:ascii="宋体" w:hAnsi="宋体" w:cs="宋体"/>
                <w:color w:val="auto"/>
                <w:szCs w:val="21"/>
                <w:highlight w:val="none"/>
              </w:rPr>
              <w:t>（2）本章第1节中的第5.1.3，以及第2节中的第7.1、7.2、9.1、10.2、11、12.2、14.2、14.8条；</w:t>
            </w:r>
          </w:p>
          <w:p>
            <w:pPr>
              <w:keepNext w:val="0"/>
              <w:keepLines w:val="0"/>
              <w:widowControl/>
              <w:suppressLineNumbers w:val="0"/>
              <w:spacing w:before="0" w:beforeAutospacing="0" w:after="0" w:afterAutospacing="0" w:line="500" w:lineRule="exact"/>
              <w:ind w:left="0" w:right="0"/>
              <w:jc w:val="left"/>
              <w:rPr>
                <w:rFonts w:hint="default" w:ascii="宋体" w:hAnsi="宋体" w:cs="宋体"/>
                <w:color w:val="auto"/>
                <w:szCs w:val="21"/>
                <w:highlight w:val="none"/>
              </w:rPr>
            </w:pPr>
            <w:r>
              <w:rPr>
                <w:rFonts w:hint="eastAsia" w:ascii="宋体" w:hAnsi="宋体" w:cs="宋体"/>
                <w:color w:val="auto"/>
                <w:szCs w:val="21"/>
                <w:highlight w:val="none"/>
              </w:rPr>
              <w:t>（3）本章评审的标准和方法和方法及第五章响应文件格式规定的报价无效的规定。</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rHeight w:val="3457" w:hRule="atLeast"/>
          <w:tblCellSpacing w:w="15" w:type="dxa"/>
        </w:trPr>
        <w:tc>
          <w:tcPr>
            <w:tcW w:w="669" w:type="dxa"/>
            <w:tcBorders>
              <w:top w:val="single" w:color="000000" w:sz="6" w:space="0"/>
              <w:left w:val="single" w:color="000000" w:sz="6" w:space="0"/>
              <w:bottom w:val="single" w:color="000000" w:sz="6" w:space="0"/>
              <w:right w:val="single" w:color="000000" w:sz="6" w:space="0"/>
            </w:tcBorders>
            <w:tcMar>
              <w:top w:w="0" w:type="dxa"/>
              <w:left w:w="105" w:type="dxa"/>
              <w:bottom w:w="0" w:type="dxa"/>
              <w:right w:w="105" w:type="dxa"/>
            </w:tcMar>
            <w:vAlign w:val="center"/>
          </w:tcPr>
          <w:p>
            <w:pPr>
              <w:keepNext w:val="0"/>
              <w:keepLines w:val="0"/>
              <w:widowControl/>
              <w:suppressLineNumbers w:val="0"/>
              <w:spacing w:before="0" w:beforeAutospacing="0" w:after="0" w:afterAutospacing="0" w:line="500" w:lineRule="exact"/>
              <w:ind w:left="0" w:right="0"/>
              <w:jc w:val="center"/>
              <w:rPr>
                <w:rFonts w:hint="default" w:ascii="宋体" w:hAnsi="宋体" w:cs="宋体"/>
                <w:color w:val="auto"/>
                <w:kern w:val="0"/>
                <w:szCs w:val="21"/>
                <w:highlight w:val="none"/>
              </w:rPr>
            </w:pPr>
            <w:r>
              <w:rPr>
                <w:rFonts w:hint="eastAsia" w:ascii="宋体" w:hAnsi="宋体" w:cs="宋体"/>
                <w:color w:val="auto"/>
                <w:kern w:val="0"/>
                <w:szCs w:val="21"/>
                <w:highlight w:val="none"/>
              </w:rPr>
              <w:t>15</w:t>
            </w:r>
          </w:p>
        </w:tc>
        <w:tc>
          <w:tcPr>
            <w:tcW w:w="949" w:type="dxa"/>
            <w:tcBorders>
              <w:top w:val="single" w:color="000000" w:sz="6" w:space="0"/>
              <w:left w:val="single" w:color="000000" w:sz="6" w:space="0"/>
              <w:bottom w:val="single" w:color="000000" w:sz="6" w:space="0"/>
              <w:right w:val="single" w:color="000000" w:sz="6" w:space="0"/>
            </w:tcBorders>
            <w:tcMar>
              <w:top w:w="0" w:type="dxa"/>
              <w:left w:w="105" w:type="dxa"/>
              <w:bottom w:w="0" w:type="dxa"/>
              <w:right w:w="105" w:type="dxa"/>
            </w:tcMar>
            <w:vAlign w:val="center"/>
          </w:tcPr>
          <w:p>
            <w:pPr>
              <w:keepNext w:val="0"/>
              <w:keepLines w:val="0"/>
              <w:widowControl/>
              <w:suppressLineNumbers w:val="0"/>
              <w:spacing w:before="0" w:beforeAutospacing="0" w:after="0" w:afterAutospacing="0" w:line="500" w:lineRule="exact"/>
              <w:ind w:left="0" w:right="0"/>
              <w:jc w:val="left"/>
              <w:rPr>
                <w:rFonts w:hint="default" w:ascii="宋体" w:hAnsi="宋体" w:cs="宋体"/>
                <w:color w:val="auto"/>
                <w:kern w:val="0"/>
                <w:szCs w:val="21"/>
                <w:highlight w:val="none"/>
              </w:rPr>
            </w:pPr>
            <w:r>
              <w:rPr>
                <w:rFonts w:hint="eastAsia" w:ascii="宋体" w:hAnsi="宋体" w:cs="宋体"/>
                <w:color w:val="auto"/>
                <w:kern w:val="0"/>
                <w:szCs w:val="21"/>
                <w:highlight w:val="none"/>
              </w:rPr>
              <w:t>25</w:t>
            </w:r>
          </w:p>
        </w:tc>
        <w:tc>
          <w:tcPr>
            <w:tcW w:w="8320" w:type="dxa"/>
            <w:tcBorders>
              <w:top w:val="single" w:color="000000" w:sz="6" w:space="0"/>
              <w:left w:val="single" w:color="000000" w:sz="6" w:space="0"/>
              <w:bottom w:val="single" w:color="000000" w:sz="6" w:space="0"/>
              <w:right w:val="single" w:color="000000" w:sz="6" w:space="0"/>
            </w:tcBorders>
            <w:tcMar>
              <w:top w:w="0" w:type="dxa"/>
              <w:left w:w="105" w:type="dxa"/>
              <w:bottom w:w="0" w:type="dxa"/>
              <w:right w:w="105" w:type="dxa"/>
            </w:tcMar>
            <w:vAlign w:val="center"/>
          </w:tcPr>
          <w:p>
            <w:pPr>
              <w:keepNext w:val="0"/>
              <w:keepLines w:val="0"/>
              <w:widowControl/>
              <w:suppressLineNumbers w:val="0"/>
              <w:spacing w:before="0" w:beforeAutospacing="0" w:after="0" w:afterAutospacing="0" w:line="500" w:lineRule="exact"/>
              <w:ind w:left="0" w:right="0"/>
              <w:jc w:val="left"/>
              <w:rPr>
                <w:rFonts w:hint="default"/>
                <w:color w:val="auto"/>
                <w:highlight w:val="none"/>
              </w:rPr>
            </w:pPr>
            <w:r>
              <w:rPr>
                <w:rFonts w:hint="eastAsia"/>
                <w:color w:val="auto"/>
                <w:highlight w:val="none"/>
              </w:rPr>
              <w:t>根据采购项目特点或政策需要补充的其他新增内容：/</w:t>
            </w:r>
          </w:p>
          <w:p>
            <w:pPr>
              <w:keepNext w:val="0"/>
              <w:keepLines w:val="0"/>
              <w:widowControl/>
              <w:numPr>
                <w:ilvl w:val="0"/>
                <w:numId w:val="4"/>
              </w:numPr>
              <w:suppressLineNumbers w:val="0"/>
              <w:spacing w:before="0" w:beforeAutospacing="0" w:after="0" w:afterAutospacing="0" w:line="500" w:lineRule="exact"/>
              <w:ind w:left="0" w:right="0"/>
              <w:jc w:val="left"/>
              <w:rPr>
                <w:rFonts w:hint="default"/>
                <w:color w:val="auto"/>
                <w:highlight w:val="none"/>
              </w:rPr>
            </w:pPr>
            <w:r>
              <w:rPr>
                <w:rFonts w:hint="eastAsia"/>
                <w:color w:val="auto"/>
                <w:highlight w:val="none"/>
              </w:rPr>
              <w:t>采购代理服务费：本项目代理费服务费由成交人支付。成交总金额100万元以下按金额的1.5%收取</w:t>
            </w:r>
            <w:r>
              <w:rPr>
                <w:rFonts w:hint="eastAsia"/>
                <w:color w:val="auto"/>
                <w:highlight w:val="none"/>
                <w:lang w:eastAsia="zh-CN"/>
              </w:rPr>
              <w:t>，</w:t>
            </w:r>
            <w:r>
              <w:rPr>
                <w:rFonts w:hint="eastAsia"/>
                <w:color w:val="auto"/>
                <w:highlight w:val="none"/>
              </w:rPr>
              <w:t>成交人应及时以转帐或电汇付款方式一次性将采购代理服务费汇入对应账户。</w:t>
            </w:r>
          </w:p>
          <w:p>
            <w:pPr>
              <w:keepNext w:val="0"/>
              <w:keepLines w:val="0"/>
              <w:suppressLineNumbers w:val="0"/>
              <w:autoSpaceDE w:val="0"/>
              <w:autoSpaceDN w:val="0"/>
              <w:adjustRightInd w:val="0"/>
              <w:spacing w:before="0" w:beforeAutospacing="0" w:after="0" w:afterAutospacing="0" w:line="380" w:lineRule="exact"/>
              <w:ind w:left="105" w:right="0" w:hanging="105" w:hangingChars="50"/>
              <w:jc w:val="left"/>
              <w:rPr>
                <w:rFonts w:hint="default"/>
                <w:color w:val="auto"/>
                <w:highlight w:val="none"/>
              </w:rPr>
            </w:pPr>
            <w:r>
              <w:rPr>
                <w:rFonts w:hint="eastAsia"/>
                <w:color w:val="auto"/>
                <w:highlight w:val="none"/>
              </w:rPr>
              <w:t>2、样品的规定及要求：/</w:t>
            </w:r>
          </w:p>
          <w:p>
            <w:pPr>
              <w:keepNext w:val="0"/>
              <w:keepLines w:val="0"/>
              <w:suppressLineNumbers w:val="0"/>
              <w:autoSpaceDE w:val="0"/>
              <w:autoSpaceDN w:val="0"/>
              <w:adjustRightInd w:val="0"/>
              <w:spacing w:before="0" w:beforeAutospacing="0" w:after="0" w:afterAutospacing="0" w:line="380" w:lineRule="exact"/>
              <w:ind w:left="105" w:right="0" w:hanging="105" w:hangingChars="50"/>
              <w:jc w:val="left"/>
              <w:rPr>
                <w:rFonts w:hint="default"/>
                <w:color w:val="auto"/>
                <w:highlight w:val="none"/>
              </w:rPr>
            </w:pPr>
            <w:r>
              <w:rPr>
                <w:rFonts w:hint="eastAsia"/>
                <w:color w:val="auto"/>
                <w:highlight w:val="none"/>
              </w:rPr>
              <w:t xml:space="preserve">3、质疑受理的其它要求：在法定质疑期内质疑人须一次性提出针对同一采购程序环节的质疑，二（多）次质疑不予受理。质疑书应按《宁德市政府采购质疑投诉有关文书范本的通知》的政府采购供应商质疑函范本（下载网址： </w:t>
            </w:r>
            <w:r>
              <w:rPr>
                <w:rFonts w:hint="default"/>
                <w:color w:val="auto"/>
                <w:highlight w:val="none"/>
              </w:rPr>
              <w:fldChar w:fldCharType="begin"/>
            </w:r>
            <w:r>
              <w:rPr>
                <w:rFonts w:hint="default"/>
                <w:color w:val="auto"/>
                <w:highlight w:val="none"/>
              </w:rPr>
              <w:instrText xml:space="preserve"> HYPERLINK "http://218.5.222.40/350900/article/9b8e96e277e341d2bc6beb55fdf99545/a5a8907c7c4211e9ae760cda411dbbf4/）" </w:instrText>
            </w:r>
            <w:r>
              <w:rPr>
                <w:rFonts w:hint="default"/>
                <w:color w:val="auto"/>
                <w:highlight w:val="none"/>
              </w:rPr>
              <w:fldChar w:fldCharType="separate"/>
            </w:r>
            <w:r>
              <w:rPr>
                <w:rFonts w:hint="eastAsia"/>
                <w:color w:val="auto"/>
                <w:highlight w:val="none"/>
              </w:rPr>
              <w:t>http://218.5.222.40/350900/article/9b8e96e277e341d2bc6beb55fdf99545/a5a8907c7c4211e9ae760cda411dbbf4/）</w:t>
            </w:r>
            <w:r>
              <w:rPr>
                <w:rFonts w:hint="eastAsia"/>
                <w:color w:val="auto"/>
                <w:highlight w:val="none"/>
              </w:rPr>
              <w:fldChar w:fldCharType="end"/>
            </w:r>
            <w:r>
              <w:rPr>
                <w:rFonts w:hint="eastAsia"/>
                <w:color w:val="auto"/>
                <w:highlight w:val="none"/>
              </w:rPr>
              <w:t>及本章“六、询问、质疑与投诉”相关内容编制提供。</w:t>
            </w:r>
          </w:p>
          <w:p>
            <w:pPr>
              <w:keepNext w:val="0"/>
              <w:keepLines w:val="0"/>
              <w:suppressLineNumbers w:val="0"/>
              <w:autoSpaceDE w:val="0"/>
              <w:autoSpaceDN w:val="0"/>
              <w:adjustRightInd w:val="0"/>
              <w:spacing w:before="0" w:beforeAutospacing="0" w:after="0" w:afterAutospacing="0" w:line="380" w:lineRule="exact"/>
              <w:ind w:left="105" w:right="0" w:hanging="105" w:hangingChars="50"/>
              <w:jc w:val="left"/>
              <w:rPr>
                <w:rFonts w:hint="default"/>
                <w:color w:val="auto"/>
                <w:highlight w:val="none"/>
              </w:rPr>
            </w:pPr>
            <w:r>
              <w:rPr>
                <w:rFonts w:hint="eastAsia"/>
                <w:color w:val="auto"/>
                <w:highlight w:val="none"/>
              </w:rPr>
              <w:t>4、其他要求：各供应商要密切关注各地的疫情防控特别是现场准入、管理要求，防止影响自身参加竞争性磋商活动。</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rHeight w:val="840" w:hRule="atLeast"/>
          <w:tblCellSpacing w:w="15" w:type="dxa"/>
        </w:trPr>
        <w:tc>
          <w:tcPr>
            <w:tcW w:w="669" w:type="dxa"/>
            <w:tcBorders>
              <w:top w:val="single" w:color="000000" w:sz="6" w:space="0"/>
              <w:left w:val="single" w:color="000000" w:sz="6" w:space="0"/>
              <w:bottom w:val="single" w:color="000000" w:sz="6" w:space="0"/>
              <w:right w:val="single" w:color="000000" w:sz="6" w:space="0"/>
            </w:tcBorders>
            <w:tcMar>
              <w:top w:w="0" w:type="dxa"/>
              <w:left w:w="105" w:type="dxa"/>
              <w:bottom w:w="0" w:type="dxa"/>
              <w:right w:w="105" w:type="dxa"/>
            </w:tcMar>
            <w:vAlign w:val="center"/>
          </w:tcPr>
          <w:p>
            <w:pPr>
              <w:keepNext w:val="0"/>
              <w:keepLines w:val="0"/>
              <w:widowControl/>
              <w:suppressLineNumbers w:val="0"/>
              <w:spacing w:before="0" w:beforeAutospacing="0" w:after="0" w:afterAutospacing="0" w:line="500" w:lineRule="exact"/>
              <w:ind w:left="0" w:right="0"/>
              <w:jc w:val="center"/>
              <w:rPr>
                <w:rFonts w:hint="default" w:ascii="宋体" w:hAnsi="宋体" w:cs="宋体"/>
                <w:color w:val="auto"/>
                <w:kern w:val="0"/>
                <w:szCs w:val="21"/>
                <w:highlight w:val="none"/>
              </w:rPr>
            </w:pPr>
            <w:r>
              <w:rPr>
                <w:rFonts w:hint="eastAsia" w:ascii="宋体" w:hAnsi="宋体" w:cs="宋体"/>
                <w:color w:val="auto"/>
                <w:kern w:val="0"/>
                <w:szCs w:val="21"/>
                <w:highlight w:val="none"/>
              </w:rPr>
              <w:t>16</w:t>
            </w:r>
          </w:p>
        </w:tc>
        <w:tc>
          <w:tcPr>
            <w:tcW w:w="949" w:type="dxa"/>
            <w:tcBorders>
              <w:top w:val="single" w:color="000000" w:sz="6" w:space="0"/>
              <w:left w:val="single" w:color="000000" w:sz="6" w:space="0"/>
              <w:bottom w:val="single" w:color="000000" w:sz="6" w:space="0"/>
              <w:right w:val="single" w:color="000000" w:sz="6" w:space="0"/>
            </w:tcBorders>
            <w:tcMar>
              <w:top w:w="0" w:type="dxa"/>
              <w:left w:w="105" w:type="dxa"/>
              <w:bottom w:w="0" w:type="dxa"/>
              <w:right w:w="105" w:type="dxa"/>
            </w:tcMar>
            <w:vAlign w:val="center"/>
          </w:tcPr>
          <w:p>
            <w:pPr>
              <w:keepNext w:val="0"/>
              <w:keepLines w:val="0"/>
              <w:widowControl/>
              <w:suppressLineNumbers w:val="0"/>
              <w:spacing w:before="0" w:beforeAutospacing="0" w:after="0" w:afterAutospacing="0" w:line="500" w:lineRule="exact"/>
              <w:ind w:left="0" w:right="0"/>
              <w:jc w:val="left"/>
              <w:rPr>
                <w:rFonts w:hint="default" w:ascii="宋体" w:hAnsi="宋体" w:cs="宋体"/>
                <w:color w:val="auto"/>
                <w:kern w:val="0"/>
                <w:szCs w:val="21"/>
                <w:highlight w:val="none"/>
              </w:rPr>
            </w:pPr>
          </w:p>
        </w:tc>
        <w:tc>
          <w:tcPr>
            <w:tcW w:w="8320" w:type="dxa"/>
            <w:tcBorders>
              <w:top w:val="single" w:color="000000" w:sz="6" w:space="0"/>
              <w:left w:val="single" w:color="000000" w:sz="6" w:space="0"/>
              <w:bottom w:val="single" w:color="000000" w:sz="6" w:space="0"/>
              <w:right w:val="single" w:color="000000" w:sz="6" w:space="0"/>
            </w:tcBorders>
            <w:tcMar>
              <w:top w:w="0" w:type="dxa"/>
              <w:left w:w="105" w:type="dxa"/>
              <w:bottom w:w="0" w:type="dxa"/>
              <w:right w:w="105" w:type="dxa"/>
            </w:tcMar>
            <w:vAlign w:val="center"/>
          </w:tcPr>
          <w:p>
            <w:pPr>
              <w:keepNext w:val="0"/>
              <w:keepLines w:val="0"/>
              <w:widowControl/>
              <w:suppressLineNumbers w:val="0"/>
              <w:spacing w:before="0" w:beforeAutospacing="0" w:after="0" w:afterAutospacing="0" w:line="500" w:lineRule="exact"/>
              <w:ind w:left="0" w:right="0"/>
              <w:jc w:val="left"/>
              <w:rPr>
                <w:rFonts w:hint="default" w:ascii="宋体" w:hAnsi="宋体" w:cs="宋体"/>
                <w:color w:val="auto"/>
                <w:kern w:val="0"/>
                <w:szCs w:val="21"/>
                <w:highlight w:val="none"/>
              </w:rPr>
            </w:pPr>
            <w:r>
              <w:rPr>
                <w:rFonts w:hint="eastAsia" w:ascii="宋体" w:hAnsi="宋体" w:cs="宋体"/>
                <w:color w:val="auto"/>
                <w:kern w:val="0"/>
                <w:szCs w:val="21"/>
                <w:highlight w:val="none"/>
              </w:rPr>
              <w:t>评审的标准和方法：具体内容详见竞争性磋商须知前附表专项附件“评审的标准和方法”。</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rHeight w:val="713" w:hRule="atLeast"/>
          <w:tblCellSpacing w:w="15" w:type="dxa"/>
        </w:trPr>
        <w:tc>
          <w:tcPr>
            <w:tcW w:w="669" w:type="dxa"/>
            <w:tcBorders>
              <w:top w:val="single" w:color="000000" w:sz="6" w:space="0"/>
              <w:left w:val="single" w:color="000000" w:sz="6" w:space="0"/>
              <w:bottom w:val="single" w:color="000000" w:sz="6" w:space="0"/>
              <w:right w:val="single" w:color="000000" w:sz="6" w:space="0"/>
            </w:tcBorders>
            <w:vAlign w:val="center"/>
          </w:tcPr>
          <w:p>
            <w:pPr>
              <w:keepNext w:val="0"/>
              <w:keepLines w:val="0"/>
              <w:widowControl/>
              <w:suppressLineNumbers w:val="0"/>
              <w:spacing w:before="0" w:beforeAutospacing="0" w:after="0" w:afterAutospacing="0" w:line="500" w:lineRule="exact"/>
              <w:ind w:left="0" w:right="0"/>
              <w:jc w:val="left"/>
              <w:rPr>
                <w:rFonts w:hint="default" w:ascii="宋体" w:hAnsi="宋体" w:cs="宋体"/>
                <w:color w:val="auto"/>
                <w:kern w:val="0"/>
                <w:szCs w:val="21"/>
                <w:highlight w:val="none"/>
              </w:rPr>
            </w:pPr>
            <w:r>
              <w:rPr>
                <w:rFonts w:hint="eastAsia" w:ascii="宋体" w:hAnsi="宋体" w:cs="宋体"/>
                <w:color w:val="auto"/>
                <w:kern w:val="0"/>
                <w:szCs w:val="21"/>
                <w:highlight w:val="none"/>
              </w:rPr>
              <w:t xml:space="preserve">  17</w:t>
            </w:r>
          </w:p>
        </w:tc>
        <w:tc>
          <w:tcPr>
            <w:tcW w:w="949" w:type="dxa"/>
            <w:tcBorders>
              <w:top w:val="single" w:color="000000" w:sz="6" w:space="0"/>
              <w:left w:val="single" w:color="000000" w:sz="6" w:space="0"/>
              <w:bottom w:val="single" w:color="000000" w:sz="6" w:space="0"/>
              <w:right w:val="single" w:color="000000" w:sz="6" w:space="0"/>
            </w:tcBorders>
            <w:vAlign w:val="center"/>
          </w:tcPr>
          <w:p>
            <w:pPr>
              <w:keepNext w:val="0"/>
              <w:keepLines w:val="0"/>
              <w:widowControl/>
              <w:suppressLineNumbers w:val="0"/>
              <w:spacing w:before="0" w:beforeAutospacing="0" w:after="0" w:afterAutospacing="0" w:line="500" w:lineRule="exact"/>
              <w:ind w:left="0" w:right="0"/>
              <w:jc w:val="left"/>
              <w:rPr>
                <w:rFonts w:hint="default" w:ascii="宋体" w:hAnsi="宋体" w:cs="宋体"/>
                <w:color w:val="auto"/>
                <w:kern w:val="0"/>
                <w:szCs w:val="21"/>
                <w:highlight w:val="none"/>
              </w:rPr>
            </w:pPr>
          </w:p>
        </w:tc>
        <w:tc>
          <w:tcPr>
            <w:tcW w:w="8320" w:type="dxa"/>
            <w:tcBorders>
              <w:top w:val="single" w:color="000000" w:sz="6" w:space="0"/>
              <w:left w:val="single" w:color="000000" w:sz="6" w:space="0"/>
              <w:bottom w:val="single" w:color="000000" w:sz="6" w:space="0"/>
              <w:right w:val="single" w:color="000000" w:sz="6" w:space="0"/>
            </w:tcBorders>
            <w:vAlign w:val="center"/>
          </w:tcPr>
          <w:p>
            <w:pPr>
              <w:keepNext w:val="0"/>
              <w:keepLines w:val="0"/>
              <w:widowControl/>
              <w:suppressLineNumbers w:val="0"/>
              <w:spacing w:before="0" w:beforeAutospacing="0" w:after="0" w:afterAutospacing="0" w:line="500" w:lineRule="exact"/>
              <w:ind w:left="0" w:right="0"/>
              <w:jc w:val="left"/>
              <w:rPr>
                <w:rFonts w:hint="default" w:ascii="宋体" w:hAnsi="宋体" w:cs="宋体"/>
                <w:color w:val="auto"/>
                <w:kern w:val="0"/>
                <w:szCs w:val="21"/>
                <w:highlight w:val="none"/>
              </w:rPr>
            </w:pPr>
            <w:r>
              <w:rPr>
                <w:rFonts w:hint="eastAsia" w:ascii="宋体" w:hAnsi="宋体" w:cs="宋体"/>
                <w:b/>
                <w:bCs/>
                <w:color w:val="auto"/>
                <w:kern w:val="0"/>
                <w:szCs w:val="21"/>
                <w:highlight w:val="none"/>
              </w:rPr>
              <w:t>是否组织现场考察或召开开标前答疑会：</w:t>
            </w:r>
            <w:r>
              <w:rPr>
                <w:rFonts w:hint="eastAsia" w:ascii="宋体" w:hAnsi="宋体" w:cs="宋体"/>
                <w:color w:val="auto"/>
                <w:szCs w:val="21"/>
                <w:highlight w:val="none"/>
              </w:rPr>
              <w:t>否。</w:t>
            </w:r>
          </w:p>
        </w:tc>
      </w:tr>
    </w:tbl>
    <w:p>
      <w:pPr>
        <w:pStyle w:val="12"/>
        <w:widowControl/>
        <w:spacing w:before="75" w:beforeAutospacing="0" w:after="75" w:afterAutospacing="0" w:line="435" w:lineRule="atLeast"/>
        <w:rPr>
          <w:rFonts w:ascii="宋体" w:hAnsi="宋体" w:cs="宋体"/>
          <w:color w:val="auto"/>
          <w:sz w:val="28"/>
          <w:szCs w:val="28"/>
          <w:highlight w:val="none"/>
        </w:rPr>
      </w:pPr>
      <w:r>
        <w:rPr>
          <w:rFonts w:hint="eastAsia" w:ascii="宋体" w:hAnsi="宋体" w:cs="宋体"/>
          <w:color w:val="auto"/>
          <w:highlight w:val="none"/>
        </w:rPr>
        <w:t> </w:t>
      </w:r>
      <w:r>
        <w:rPr>
          <w:rFonts w:hint="eastAsia" w:ascii="宋体" w:hAnsi="宋体" w:cs="宋体"/>
          <w:color w:val="auto"/>
          <w:sz w:val="28"/>
          <w:szCs w:val="28"/>
          <w:highlight w:val="none"/>
        </w:rPr>
        <w:t> </w:t>
      </w:r>
    </w:p>
    <w:p>
      <w:pPr>
        <w:pStyle w:val="12"/>
        <w:widowControl/>
        <w:spacing w:before="75" w:beforeAutospacing="0" w:after="75" w:afterAutospacing="0" w:line="435" w:lineRule="atLeast"/>
        <w:rPr>
          <w:rFonts w:ascii="宋体" w:hAnsi="宋体" w:cs="宋体"/>
          <w:color w:val="auto"/>
          <w:highlight w:val="none"/>
        </w:rPr>
      </w:pPr>
      <w:r>
        <w:rPr>
          <w:rFonts w:hint="eastAsia" w:ascii="宋体" w:hAnsi="宋体" w:cs="宋体"/>
          <w:color w:val="auto"/>
          <w:sz w:val="28"/>
          <w:szCs w:val="28"/>
          <w:highlight w:val="none"/>
        </w:rPr>
        <w:br w:type="page"/>
      </w:r>
      <w:r>
        <w:rPr>
          <w:rStyle w:val="18"/>
          <w:rFonts w:hint="eastAsia" w:ascii="宋体" w:hAnsi="宋体" w:cs="宋体"/>
          <w:color w:val="auto"/>
          <w:highlight w:val="none"/>
        </w:rPr>
        <w:t>专项附件： 评审的标准和方法</w:t>
      </w:r>
    </w:p>
    <w:p>
      <w:pPr>
        <w:pStyle w:val="12"/>
        <w:widowControl/>
        <w:spacing w:before="75" w:beforeAutospacing="0" w:after="75" w:afterAutospacing="0" w:line="435" w:lineRule="atLeast"/>
        <w:jc w:val="center"/>
        <w:rPr>
          <w:rFonts w:ascii="宋体" w:hAnsi="宋体" w:cs="宋体"/>
          <w:color w:val="auto"/>
          <w:highlight w:val="none"/>
        </w:rPr>
      </w:pPr>
      <w:r>
        <w:rPr>
          <w:rStyle w:val="18"/>
          <w:rFonts w:hint="eastAsia" w:ascii="宋体" w:hAnsi="宋体" w:cs="宋体"/>
          <w:color w:val="auto"/>
          <w:highlight w:val="none"/>
        </w:rPr>
        <w:t> </w:t>
      </w:r>
    </w:p>
    <w:p>
      <w:pPr>
        <w:pStyle w:val="12"/>
        <w:widowControl/>
        <w:spacing w:before="75" w:beforeAutospacing="0" w:after="75" w:afterAutospacing="0" w:line="420" w:lineRule="atLeast"/>
        <w:jc w:val="center"/>
        <w:rPr>
          <w:rFonts w:ascii="宋体" w:hAnsi="宋体" w:cs="宋体"/>
          <w:color w:val="auto"/>
          <w:sz w:val="21"/>
          <w:szCs w:val="21"/>
          <w:highlight w:val="none"/>
        </w:rPr>
      </w:pPr>
      <w:r>
        <w:rPr>
          <w:rStyle w:val="18"/>
          <w:rFonts w:hint="eastAsia" w:ascii="宋体" w:hAnsi="宋体" w:cs="宋体"/>
          <w:color w:val="auto"/>
          <w:sz w:val="21"/>
          <w:szCs w:val="21"/>
          <w:highlight w:val="none"/>
        </w:rPr>
        <w:t>一、磋商小组</w:t>
      </w:r>
    </w:p>
    <w:p>
      <w:pPr>
        <w:pStyle w:val="12"/>
        <w:widowControl/>
        <w:spacing w:before="75" w:beforeAutospacing="0" w:after="75" w:afterAutospacing="0" w:line="420" w:lineRule="atLeast"/>
        <w:rPr>
          <w:rFonts w:ascii="宋体" w:hAnsi="宋体" w:cs="宋体"/>
          <w:color w:val="auto"/>
          <w:sz w:val="21"/>
          <w:szCs w:val="21"/>
          <w:highlight w:val="none"/>
        </w:rPr>
      </w:pPr>
      <w:r>
        <w:rPr>
          <w:rFonts w:hint="eastAsia" w:ascii="宋体" w:hAnsi="宋体" w:cs="宋体"/>
          <w:color w:val="auto"/>
          <w:sz w:val="21"/>
          <w:szCs w:val="21"/>
          <w:highlight w:val="none"/>
        </w:rPr>
        <w:t> </w:t>
      </w:r>
    </w:p>
    <w:p>
      <w:pPr>
        <w:pStyle w:val="12"/>
        <w:widowControl/>
        <w:spacing w:before="75" w:beforeAutospacing="0" w:after="75" w:afterAutospacing="0" w:line="420" w:lineRule="atLeast"/>
        <w:ind w:firstLine="240"/>
        <w:rPr>
          <w:rFonts w:ascii="宋体" w:hAnsi="宋体" w:cs="宋体"/>
          <w:color w:val="auto"/>
          <w:sz w:val="21"/>
          <w:szCs w:val="21"/>
          <w:highlight w:val="none"/>
        </w:rPr>
      </w:pPr>
      <w:r>
        <w:rPr>
          <w:rFonts w:hint="eastAsia" w:ascii="宋体" w:hAnsi="宋体" w:cs="宋体"/>
          <w:color w:val="auto"/>
          <w:sz w:val="21"/>
          <w:szCs w:val="21"/>
          <w:highlight w:val="none"/>
        </w:rPr>
        <w:t>1.1采购人根据项目的特点依法组建磋商小组。</w:t>
      </w:r>
    </w:p>
    <w:p>
      <w:pPr>
        <w:pStyle w:val="12"/>
        <w:widowControl/>
        <w:spacing w:before="75" w:beforeAutospacing="0" w:after="75" w:afterAutospacing="0" w:line="420" w:lineRule="atLeast"/>
        <w:ind w:firstLine="240"/>
        <w:rPr>
          <w:rFonts w:ascii="宋体" w:hAnsi="宋体" w:cs="宋体"/>
          <w:color w:val="auto"/>
          <w:sz w:val="21"/>
          <w:szCs w:val="21"/>
          <w:highlight w:val="none"/>
        </w:rPr>
      </w:pPr>
      <w:r>
        <w:rPr>
          <w:rFonts w:hint="eastAsia" w:ascii="宋体" w:hAnsi="宋体" w:cs="宋体"/>
          <w:color w:val="auto"/>
          <w:sz w:val="21"/>
          <w:szCs w:val="21"/>
          <w:highlight w:val="none"/>
        </w:rPr>
        <w:t>1.2磋商小组由采购人代表和评审专家两部分（以下简称“评委”）共</w:t>
      </w:r>
      <w:r>
        <w:rPr>
          <w:rFonts w:hint="eastAsia" w:ascii="宋体" w:hAnsi="宋体" w:cs="宋体"/>
          <w:color w:val="auto"/>
          <w:sz w:val="21"/>
          <w:szCs w:val="21"/>
          <w:highlight w:val="none"/>
          <w:u w:val="single"/>
        </w:rPr>
        <w:t>3</w:t>
      </w:r>
      <w:r>
        <w:rPr>
          <w:rFonts w:hint="eastAsia" w:ascii="宋体" w:hAnsi="宋体" w:cs="宋体"/>
          <w:color w:val="auto"/>
          <w:sz w:val="21"/>
          <w:szCs w:val="21"/>
          <w:highlight w:val="none"/>
        </w:rPr>
        <w:t>人组成，其中：采购人代表</w:t>
      </w:r>
      <w:r>
        <w:rPr>
          <w:rFonts w:hint="eastAsia" w:ascii="宋体" w:hAnsi="宋体" w:cs="宋体"/>
          <w:color w:val="auto"/>
          <w:sz w:val="21"/>
          <w:szCs w:val="21"/>
          <w:highlight w:val="none"/>
          <w:u w:val="single"/>
        </w:rPr>
        <w:t>1</w:t>
      </w:r>
      <w:r>
        <w:rPr>
          <w:rFonts w:hint="eastAsia" w:ascii="宋体" w:hAnsi="宋体" w:cs="宋体"/>
          <w:color w:val="auto"/>
          <w:sz w:val="21"/>
          <w:szCs w:val="21"/>
          <w:highlight w:val="none"/>
        </w:rPr>
        <w:t>人由采购人派出，评审专家</w:t>
      </w:r>
      <w:r>
        <w:rPr>
          <w:rFonts w:hint="eastAsia" w:ascii="宋体" w:hAnsi="宋体" w:cs="宋体"/>
          <w:color w:val="auto"/>
          <w:sz w:val="21"/>
          <w:szCs w:val="21"/>
          <w:highlight w:val="none"/>
          <w:u w:val="single"/>
        </w:rPr>
        <w:t>2</w:t>
      </w:r>
      <w:r>
        <w:rPr>
          <w:rFonts w:hint="eastAsia" w:ascii="宋体" w:hAnsi="宋体" w:cs="宋体"/>
          <w:color w:val="auto"/>
          <w:sz w:val="21"/>
          <w:szCs w:val="21"/>
          <w:highlight w:val="none"/>
        </w:rPr>
        <w:t>人由指定采购评审专家库产生。技术复杂、专业性强的采购项目，评审专家中应当包含1名法律专家。</w:t>
      </w:r>
    </w:p>
    <w:p>
      <w:pPr>
        <w:pStyle w:val="12"/>
        <w:widowControl/>
        <w:spacing w:before="75" w:beforeAutospacing="0" w:after="75" w:afterAutospacing="0" w:line="420" w:lineRule="atLeast"/>
        <w:ind w:firstLine="240"/>
        <w:rPr>
          <w:rFonts w:ascii="宋体" w:hAnsi="宋体" w:cs="宋体"/>
          <w:color w:val="auto"/>
          <w:sz w:val="21"/>
          <w:szCs w:val="21"/>
          <w:highlight w:val="none"/>
        </w:rPr>
      </w:pPr>
      <w:r>
        <w:rPr>
          <w:rFonts w:hint="eastAsia" w:ascii="宋体" w:hAnsi="宋体" w:cs="宋体"/>
          <w:color w:val="auto"/>
          <w:sz w:val="21"/>
          <w:szCs w:val="21"/>
          <w:highlight w:val="none"/>
        </w:rPr>
        <w:t>1.3磋商小组负责具体磋商和评审事务，并按照下列原则依法独立履行有关职责：</w:t>
      </w:r>
    </w:p>
    <w:p>
      <w:pPr>
        <w:pStyle w:val="12"/>
        <w:widowControl/>
        <w:spacing w:before="75" w:beforeAutospacing="0" w:after="75" w:afterAutospacing="0" w:line="420" w:lineRule="atLeast"/>
        <w:ind w:firstLine="480"/>
        <w:rPr>
          <w:rFonts w:ascii="宋体" w:hAnsi="宋体" w:cs="宋体"/>
          <w:color w:val="auto"/>
          <w:sz w:val="21"/>
          <w:szCs w:val="21"/>
          <w:highlight w:val="none"/>
        </w:rPr>
      </w:pPr>
      <w:r>
        <w:rPr>
          <w:rFonts w:hint="eastAsia" w:ascii="宋体" w:hAnsi="宋体" w:cs="宋体"/>
          <w:color w:val="auto"/>
          <w:sz w:val="21"/>
          <w:szCs w:val="21"/>
          <w:highlight w:val="none"/>
        </w:rPr>
        <w:t>1.3.1评审应保护国家利益、社会公共利益和各方当事人合法权益，提高采购效益，保证项目质量。</w:t>
      </w:r>
    </w:p>
    <w:p>
      <w:pPr>
        <w:pStyle w:val="12"/>
        <w:widowControl/>
        <w:spacing w:before="75" w:beforeAutospacing="0" w:after="75" w:afterAutospacing="0" w:line="420" w:lineRule="atLeast"/>
        <w:ind w:firstLine="480"/>
        <w:rPr>
          <w:rFonts w:ascii="宋体" w:hAnsi="宋体" w:cs="宋体"/>
          <w:color w:val="auto"/>
          <w:sz w:val="21"/>
          <w:szCs w:val="21"/>
          <w:highlight w:val="none"/>
        </w:rPr>
      </w:pPr>
      <w:r>
        <w:rPr>
          <w:rFonts w:hint="eastAsia" w:ascii="宋体" w:hAnsi="宋体" w:cs="宋体"/>
          <w:color w:val="auto"/>
          <w:sz w:val="21"/>
          <w:szCs w:val="21"/>
          <w:highlight w:val="none"/>
        </w:rPr>
        <w:t>1.3.2评审应遵循公平、公正、科学、严谨和择优原则。</w:t>
      </w:r>
    </w:p>
    <w:p>
      <w:pPr>
        <w:pStyle w:val="12"/>
        <w:widowControl/>
        <w:spacing w:before="75" w:beforeAutospacing="0" w:after="75" w:afterAutospacing="0" w:line="420" w:lineRule="atLeast"/>
        <w:ind w:firstLine="480"/>
        <w:rPr>
          <w:rFonts w:ascii="宋体" w:hAnsi="宋体" w:cs="宋体"/>
          <w:color w:val="auto"/>
          <w:sz w:val="21"/>
          <w:szCs w:val="21"/>
          <w:highlight w:val="none"/>
        </w:rPr>
      </w:pPr>
      <w:r>
        <w:rPr>
          <w:rFonts w:hint="eastAsia" w:ascii="宋体" w:hAnsi="宋体" w:cs="宋体"/>
          <w:color w:val="auto"/>
          <w:sz w:val="21"/>
          <w:szCs w:val="21"/>
          <w:highlight w:val="none"/>
        </w:rPr>
        <w:t>1.3.3评审的依据是磋商文件和响应文件，磋商文件中没有规定的评审标准不得作为评审依据。</w:t>
      </w:r>
    </w:p>
    <w:p>
      <w:pPr>
        <w:pStyle w:val="12"/>
        <w:widowControl/>
        <w:spacing w:before="75" w:beforeAutospacing="0" w:after="75" w:afterAutospacing="0" w:line="420" w:lineRule="atLeast"/>
        <w:ind w:firstLine="480"/>
        <w:rPr>
          <w:rFonts w:ascii="宋体" w:hAnsi="宋体" w:cs="宋体"/>
          <w:color w:val="auto"/>
          <w:sz w:val="21"/>
          <w:szCs w:val="21"/>
          <w:highlight w:val="none"/>
        </w:rPr>
      </w:pPr>
      <w:r>
        <w:rPr>
          <w:rFonts w:hint="eastAsia" w:ascii="宋体" w:hAnsi="宋体" w:cs="宋体"/>
          <w:color w:val="auto"/>
          <w:sz w:val="21"/>
          <w:szCs w:val="21"/>
          <w:highlight w:val="none"/>
        </w:rPr>
        <w:t>1.3.4磋商小组应按照磋商文件规定推荐成交候选供应商或根据采购人的授权确定成交人。</w:t>
      </w:r>
    </w:p>
    <w:p>
      <w:pPr>
        <w:pStyle w:val="12"/>
        <w:widowControl/>
        <w:spacing w:before="75" w:beforeAutospacing="0" w:after="75" w:afterAutospacing="0" w:line="420" w:lineRule="atLeast"/>
        <w:ind w:firstLine="480"/>
        <w:rPr>
          <w:rFonts w:ascii="宋体" w:hAnsi="宋体" w:cs="宋体"/>
          <w:color w:val="auto"/>
          <w:sz w:val="21"/>
          <w:szCs w:val="21"/>
          <w:highlight w:val="none"/>
        </w:rPr>
      </w:pPr>
      <w:r>
        <w:rPr>
          <w:rFonts w:hint="eastAsia" w:ascii="宋体" w:hAnsi="宋体" w:cs="宋体"/>
          <w:color w:val="auto"/>
          <w:sz w:val="21"/>
          <w:szCs w:val="21"/>
          <w:highlight w:val="none"/>
        </w:rPr>
        <w:t>1.3.5评审应遵守下列评审纪律：</w:t>
      </w:r>
    </w:p>
    <w:p>
      <w:pPr>
        <w:pStyle w:val="12"/>
        <w:widowControl/>
        <w:spacing w:before="75" w:beforeAutospacing="0" w:after="75" w:afterAutospacing="0" w:line="420" w:lineRule="atLeast"/>
        <w:ind w:firstLine="480"/>
        <w:rPr>
          <w:rFonts w:ascii="宋体" w:hAnsi="宋体" w:cs="宋体"/>
          <w:color w:val="auto"/>
          <w:sz w:val="21"/>
          <w:szCs w:val="21"/>
          <w:highlight w:val="none"/>
        </w:rPr>
      </w:pPr>
      <w:r>
        <w:rPr>
          <w:rFonts w:hint="eastAsia" w:ascii="宋体" w:hAnsi="宋体" w:cs="宋体"/>
          <w:color w:val="auto"/>
          <w:sz w:val="21"/>
          <w:szCs w:val="21"/>
          <w:highlight w:val="none"/>
        </w:rPr>
        <w:t>①评审情况不得私自外泄，有关信息由采购人或其委托的代理机构统一对外发布。</w:t>
      </w:r>
    </w:p>
    <w:p>
      <w:pPr>
        <w:pStyle w:val="12"/>
        <w:widowControl/>
        <w:spacing w:before="75" w:beforeAutospacing="0" w:after="75" w:afterAutospacing="0" w:line="420" w:lineRule="atLeast"/>
        <w:ind w:firstLine="480"/>
        <w:rPr>
          <w:rFonts w:ascii="宋体" w:hAnsi="宋体" w:cs="宋体"/>
          <w:color w:val="auto"/>
          <w:sz w:val="21"/>
          <w:szCs w:val="21"/>
          <w:highlight w:val="none"/>
        </w:rPr>
      </w:pPr>
      <w:r>
        <w:rPr>
          <w:rFonts w:hint="eastAsia" w:ascii="宋体" w:hAnsi="宋体" w:cs="宋体"/>
          <w:color w:val="auto"/>
          <w:sz w:val="21"/>
          <w:szCs w:val="21"/>
          <w:highlight w:val="none"/>
        </w:rPr>
        <w:t>②对采购人或供应商提供的要求保密的资料，不得摘记翻印和外传。</w:t>
      </w:r>
    </w:p>
    <w:p>
      <w:pPr>
        <w:pStyle w:val="12"/>
        <w:widowControl/>
        <w:spacing w:before="75" w:beforeAutospacing="0" w:after="75" w:afterAutospacing="0" w:line="420" w:lineRule="atLeast"/>
        <w:ind w:firstLine="480"/>
        <w:rPr>
          <w:rFonts w:ascii="宋体" w:hAnsi="宋体" w:cs="宋体"/>
          <w:color w:val="auto"/>
          <w:sz w:val="21"/>
          <w:szCs w:val="21"/>
          <w:highlight w:val="none"/>
        </w:rPr>
      </w:pPr>
      <w:r>
        <w:rPr>
          <w:rFonts w:hint="eastAsia" w:ascii="宋体" w:hAnsi="宋体" w:cs="宋体"/>
          <w:color w:val="auto"/>
          <w:sz w:val="21"/>
          <w:szCs w:val="21"/>
          <w:highlight w:val="none"/>
        </w:rPr>
        <w:t>③不得收受供应商或有关人员的任何礼物，不得串联鼓动其他人袒护某供应商。若与供应商存在利害关系，则应主动声明并回避。</w:t>
      </w:r>
    </w:p>
    <w:p>
      <w:pPr>
        <w:pStyle w:val="12"/>
        <w:widowControl/>
        <w:spacing w:before="75" w:beforeAutospacing="0" w:after="75" w:afterAutospacing="0" w:line="420" w:lineRule="atLeast"/>
        <w:ind w:firstLine="480"/>
        <w:rPr>
          <w:rFonts w:ascii="宋体" w:hAnsi="宋体" w:cs="宋体"/>
          <w:color w:val="auto"/>
          <w:sz w:val="21"/>
          <w:szCs w:val="21"/>
          <w:highlight w:val="none"/>
        </w:rPr>
      </w:pPr>
      <w:r>
        <w:rPr>
          <w:rFonts w:hint="eastAsia" w:ascii="宋体" w:hAnsi="宋体" w:cs="宋体"/>
          <w:color w:val="auto"/>
          <w:sz w:val="21"/>
          <w:szCs w:val="21"/>
          <w:highlight w:val="none"/>
        </w:rPr>
        <w:t>④全体磋商小组成员应按照磋商文件规定进行评审，一切认定事项应查有实据且不得弄虚作假。</w:t>
      </w:r>
    </w:p>
    <w:p>
      <w:pPr>
        <w:pStyle w:val="12"/>
        <w:widowControl/>
        <w:spacing w:before="75" w:beforeAutospacing="0" w:after="75" w:afterAutospacing="0" w:line="420" w:lineRule="atLeast"/>
        <w:ind w:firstLine="480"/>
        <w:rPr>
          <w:rFonts w:ascii="宋体" w:hAnsi="宋体" w:cs="宋体"/>
          <w:color w:val="auto"/>
          <w:sz w:val="21"/>
          <w:szCs w:val="21"/>
          <w:highlight w:val="none"/>
        </w:rPr>
      </w:pPr>
      <w:r>
        <w:rPr>
          <w:rFonts w:hint="eastAsia" w:ascii="宋体" w:hAnsi="宋体" w:cs="宋体"/>
          <w:color w:val="auto"/>
          <w:sz w:val="21"/>
          <w:szCs w:val="21"/>
          <w:highlight w:val="none"/>
        </w:rPr>
        <w:t>⑤评审中应充分发扬民主，推荐成交人候选人或根据采购人授权确定成交人后要服从评审报告。</w:t>
      </w:r>
    </w:p>
    <w:p>
      <w:pPr>
        <w:pStyle w:val="12"/>
        <w:widowControl/>
        <w:spacing w:before="75" w:beforeAutospacing="0" w:after="75" w:afterAutospacing="0" w:line="420" w:lineRule="atLeast"/>
        <w:ind w:firstLine="480"/>
        <w:rPr>
          <w:rFonts w:ascii="宋体" w:hAnsi="宋体" w:cs="宋体"/>
          <w:color w:val="auto"/>
          <w:sz w:val="21"/>
          <w:szCs w:val="21"/>
          <w:highlight w:val="none"/>
        </w:rPr>
      </w:pPr>
      <w:r>
        <w:rPr>
          <w:rStyle w:val="18"/>
          <w:rFonts w:hint="eastAsia" w:ascii="宋体" w:hAnsi="宋体" w:cs="宋体"/>
          <w:color w:val="auto"/>
          <w:sz w:val="21"/>
          <w:szCs w:val="21"/>
          <w:highlight w:val="none"/>
        </w:rPr>
        <w:t>※对违反评审纪律的评委，将取消其评委资格，对评审工作造成严重损失者将予以通报批评乃至追究法律责任。</w:t>
      </w:r>
    </w:p>
    <w:p>
      <w:pPr>
        <w:pStyle w:val="12"/>
        <w:widowControl/>
        <w:spacing w:before="75" w:beforeAutospacing="0" w:after="75" w:afterAutospacing="0" w:line="420" w:lineRule="atLeast"/>
        <w:jc w:val="center"/>
        <w:rPr>
          <w:rFonts w:ascii="宋体" w:hAnsi="宋体" w:cs="宋体"/>
          <w:color w:val="auto"/>
          <w:sz w:val="21"/>
          <w:szCs w:val="21"/>
          <w:highlight w:val="none"/>
        </w:rPr>
      </w:pPr>
      <w:r>
        <w:rPr>
          <w:rFonts w:hint="eastAsia" w:ascii="宋体" w:hAnsi="宋体" w:cs="宋体"/>
          <w:color w:val="auto"/>
          <w:sz w:val="21"/>
          <w:szCs w:val="21"/>
          <w:highlight w:val="none"/>
        </w:rPr>
        <w:t>二、</w:t>
      </w:r>
      <w:r>
        <w:rPr>
          <w:rStyle w:val="18"/>
          <w:rFonts w:hint="eastAsia" w:ascii="宋体" w:hAnsi="宋体" w:cs="宋体"/>
          <w:color w:val="auto"/>
          <w:sz w:val="21"/>
          <w:szCs w:val="21"/>
          <w:highlight w:val="none"/>
        </w:rPr>
        <w:t>磋商程序</w:t>
      </w:r>
    </w:p>
    <w:p>
      <w:pPr>
        <w:pStyle w:val="12"/>
        <w:widowControl/>
        <w:spacing w:before="75" w:beforeAutospacing="0" w:after="75" w:afterAutospacing="0" w:line="420" w:lineRule="atLeast"/>
        <w:rPr>
          <w:rFonts w:ascii="宋体" w:hAnsi="宋体" w:cs="宋体"/>
          <w:color w:val="auto"/>
          <w:sz w:val="21"/>
          <w:szCs w:val="21"/>
          <w:highlight w:val="none"/>
        </w:rPr>
      </w:pPr>
      <w:r>
        <w:rPr>
          <w:rFonts w:hint="eastAsia" w:ascii="宋体" w:hAnsi="宋体" w:cs="宋体"/>
          <w:color w:val="auto"/>
          <w:sz w:val="21"/>
          <w:szCs w:val="21"/>
          <w:highlight w:val="none"/>
        </w:rPr>
        <w:t> </w:t>
      </w:r>
    </w:p>
    <w:p>
      <w:pPr>
        <w:pStyle w:val="12"/>
        <w:widowControl/>
        <w:spacing w:before="75" w:beforeAutospacing="0" w:after="75" w:afterAutospacing="0" w:line="420" w:lineRule="atLeast"/>
        <w:ind w:firstLine="240"/>
        <w:rPr>
          <w:rFonts w:ascii="宋体" w:hAnsi="宋体" w:cs="宋体"/>
          <w:color w:val="auto"/>
          <w:sz w:val="21"/>
          <w:szCs w:val="21"/>
          <w:highlight w:val="none"/>
        </w:rPr>
      </w:pPr>
      <w:r>
        <w:rPr>
          <w:rFonts w:hint="eastAsia" w:ascii="宋体" w:hAnsi="宋体" w:cs="宋体"/>
          <w:color w:val="auto"/>
          <w:sz w:val="21"/>
          <w:szCs w:val="21"/>
          <w:highlight w:val="none"/>
        </w:rPr>
        <w:t>2.1磋商程序按照磋商文件第二章第2节“竞争性磋商须知”第14 条“磋商程序以及评审标准和方法”的相关条款规定执行。</w:t>
      </w:r>
    </w:p>
    <w:p>
      <w:pPr>
        <w:pStyle w:val="12"/>
        <w:widowControl/>
        <w:spacing w:before="75" w:beforeAutospacing="0" w:after="75" w:afterAutospacing="0" w:line="420" w:lineRule="atLeast"/>
        <w:ind w:firstLine="240"/>
        <w:rPr>
          <w:rFonts w:ascii="宋体" w:hAnsi="宋体" w:cs="宋体"/>
          <w:color w:val="auto"/>
          <w:sz w:val="21"/>
          <w:szCs w:val="21"/>
          <w:highlight w:val="none"/>
        </w:rPr>
      </w:pPr>
      <w:r>
        <w:rPr>
          <w:rFonts w:hint="eastAsia" w:ascii="宋体" w:hAnsi="宋体" w:cs="宋体"/>
          <w:color w:val="auto"/>
          <w:sz w:val="21"/>
          <w:szCs w:val="21"/>
          <w:highlight w:val="none"/>
        </w:rPr>
        <w:t>2.2磋商文件不能详细列明采购标的的技术、服务要求，需经磋商由供应商提供最终设计方案或解决方案的，磋商结束后，磋商小组应当按照少数服从多数的原则投票推荐3家以上供应商的设计方案或者解决方案，并要求其在规定时间内提交最后报价。属于《政府采购竞争性磋商采购方式管理暂行办法》等相关法律法规及财政部门颁布的规范性文件允许的两家供应商进行竞争性磋商采购情形，则提交最后报价的供应商可以为两家。</w:t>
      </w:r>
    </w:p>
    <w:p>
      <w:pPr>
        <w:pStyle w:val="12"/>
        <w:widowControl/>
        <w:spacing w:before="75" w:beforeAutospacing="0" w:after="75" w:afterAutospacing="0" w:line="420" w:lineRule="atLeast"/>
        <w:ind w:firstLine="240"/>
        <w:rPr>
          <w:rFonts w:ascii="宋体" w:hAnsi="宋体" w:cs="宋体"/>
          <w:color w:val="auto"/>
          <w:sz w:val="21"/>
          <w:szCs w:val="21"/>
          <w:highlight w:val="none"/>
        </w:rPr>
      </w:pPr>
      <w:r>
        <w:rPr>
          <w:rFonts w:hint="eastAsia" w:ascii="宋体" w:hAnsi="宋体" w:cs="宋体"/>
          <w:color w:val="auto"/>
          <w:sz w:val="21"/>
          <w:szCs w:val="21"/>
          <w:highlight w:val="none"/>
        </w:rPr>
        <w:t>2.3只有资格审查和实质性响应审查均合格且按规定提交最后报价的合格供应商才能参加综合评分。</w:t>
      </w:r>
    </w:p>
    <w:p>
      <w:pPr>
        <w:pStyle w:val="12"/>
        <w:widowControl/>
        <w:spacing w:before="75" w:beforeAutospacing="0" w:after="75" w:afterAutospacing="0" w:line="420" w:lineRule="atLeast"/>
        <w:rPr>
          <w:rFonts w:ascii="宋体" w:hAnsi="宋体" w:cs="宋体"/>
          <w:color w:val="auto"/>
          <w:sz w:val="21"/>
          <w:szCs w:val="21"/>
          <w:highlight w:val="none"/>
        </w:rPr>
      </w:pPr>
      <w:r>
        <w:rPr>
          <w:rFonts w:hint="eastAsia" w:ascii="宋体" w:hAnsi="宋体" w:cs="宋体"/>
          <w:color w:val="auto"/>
          <w:sz w:val="21"/>
          <w:szCs w:val="21"/>
          <w:highlight w:val="none"/>
        </w:rPr>
        <w:t> </w:t>
      </w:r>
    </w:p>
    <w:p>
      <w:pPr>
        <w:pStyle w:val="12"/>
        <w:widowControl/>
        <w:spacing w:before="75" w:beforeAutospacing="0" w:after="75" w:afterAutospacing="0" w:line="420" w:lineRule="atLeast"/>
        <w:jc w:val="center"/>
        <w:rPr>
          <w:rFonts w:ascii="宋体" w:hAnsi="宋体" w:cs="宋体"/>
          <w:color w:val="auto"/>
          <w:sz w:val="21"/>
          <w:szCs w:val="21"/>
          <w:highlight w:val="none"/>
        </w:rPr>
      </w:pPr>
      <w:r>
        <w:rPr>
          <w:rStyle w:val="18"/>
          <w:rFonts w:hint="eastAsia" w:ascii="宋体" w:hAnsi="宋体" w:cs="宋体"/>
          <w:color w:val="auto"/>
          <w:sz w:val="21"/>
          <w:szCs w:val="21"/>
          <w:highlight w:val="none"/>
        </w:rPr>
        <w:t>三、综合评分的标准和方法</w:t>
      </w:r>
    </w:p>
    <w:p>
      <w:pPr>
        <w:pStyle w:val="12"/>
        <w:widowControl/>
        <w:spacing w:before="75" w:beforeAutospacing="0" w:after="75" w:afterAutospacing="0" w:line="420" w:lineRule="atLeast"/>
        <w:rPr>
          <w:rFonts w:ascii="宋体" w:hAnsi="宋体" w:cs="宋体"/>
          <w:color w:val="auto"/>
          <w:sz w:val="21"/>
          <w:szCs w:val="21"/>
          <w:highlight w:val="none"/>
        </w:rPr>
      </w:pPr>
      <w:r>
        <w:rPr>
          <w:rFonts w:hint="eastAsia" w:ascii="宋体" w:hAnsi="宋体" w:cs="宋体"/>
          <w:color w:val="auto"/>
          <w:sz w:val="21"/>
          <w:szCs w:val="21"/>
          <w:highlight w:val="none"/>
        </w:rPr>
        <w:t> </w:t>
      </w:r>
    </w:p>
    <w:p>
      <w:pPr>
        <w:pStyle w:val="12"/>
        <w:widowControl/>
        <w:spacing w:before="75" w:beforeAutospacing="0" w:after="75" w:afterAutospacing="0" w:line="420" w:lineRule="atLeast"/>
        <w:ind w:firstLine="240"/>
        <w:rPr>
          <w:rFonts w:ascii="宋体" w:hAnsi="宋体" w:cs="宋体"/>
          <w:color w:val="auto"/>
          <w:sz w:val="21"/>
          <w:szCs w:val="21"/>
          <w:highlight w:val="none"/>
        </w:rPr>
      </w:pPr>
      <w:r>
        <w:rPr>
          <w:rFonts w:hint="eastAsia" w:ascii="宋体" w:hAnsi="宋体" w:cs="宋体"/>
          <w:color w:val="auto"/>
          <w:sz w:val="21"/>
          <w:szCs w:val="21"/>
          <w:highlight w:val="none"/>
        </w:rPr>
        <w:t>3.1磋商小组将采用综合评分法对提交最后报价的合格供应商的响应文件和最后报价进行综合评分。如果磋商项目有多个采购包，则按相应采购包分别进行，具体综合评分的标准和方法如下：</w:t>
      </w:r>
    </w:p>
    <w:p>
      <w:pPr>
        <w:pStyle w:val="12"/>
        <w:widowControl/>
        <w:spacing w:before="75" w:beforeAutospacing="0" w:after="75" w:afterAutospacing="0" w:line="420" w:lineRule="atLeast"/>
        <w:ind w:firstLine="465"/>
        <w:rPr>
          <w:rFonts w:ascii="宋体" w:hAnsi="宋体" w:cs="宋体"/>
          <w:color w:val="auto"/>
          <w:sz w:val="21"/>
          <w:szCs w:val="21"/>
          <w:highlight w:val="none"/>
        </w:rPr>
      </w:pPr>
      <w:r>
        <w:rPr>
          <w:rFonts w:hint="eastAsia" w:ascii="宋体" w:hAnsi="宋体" w:cs="宋体"/>
          <w:color w:val="auto"/>
          <w:sz w:val="21"/>
          <w:szCs w:val="21"/>
          <w:highlight w:val="none"/>
        </w:rPr>
        <w:t>3.1.1磋商小组将对相应采购包提交最后报价的合格供应商从技术、商务及报价部分分别进行评议并评分，并汇总出技术、商务及报价部分的综合得分。各采购包综合得分最高的供应商将被推荐为第一成交候选供应商，综合得分第二高的供应商将被推荐为第二成交候选供应商，综合得分第三高的供应商将被推荐为第三成交候选供应商（属于《政府采购竞争性磋商采购方式管理暂行办法》等相关法律法规及财政部门颁布的规范性文件允许的两家供应商进行竞争性磋商采购情形，则不推荐第三成交候选供应商）。</w:t>
      </w:r>
    </w:p>
    <w:p>
      <w:pPr>
        <w:pStyle w:val="12"/>
        <w:widowControl/>
        <w:spacing w:before="75" w:beforeAutospacing="0" w:after="75" w:afterAutospacing="0" w:line="420" w:lineRule="atLeast"/>
        <w:ind w:firstLine="465"/>
        <w:rPr>
          <w:rFonts w:ascii="宋体" w:hAnsi="宋体" w:cs="宋体"/>
          <w:color w:val="auto"/>
          <w:sz w:val="21"/>
          <w:szCs w:val="21"/>
          <w:highlight w:val="none"/>
        </w:rPr>
      </w:pPr>
      <w:r>
        <w:rPr>
          <w:rFonts w:hint="eastAsia" w:ascii="宋体" w:hAnsi="宋体" w:cs="宋体"/>
          <w:color w:val="auto"/>
          <w:sz w:val="21"/>
          <w:szCs w:val="21"/>
          <w:highlight w:val="none"/>
        </w:rPr>
        <w:t>3.1.2具体评审标准和方法：</w:t>
      </w:r>
    </w:p>
    <w:p>
      <w:pPr>
        <w:pStyle w:val="12"/>
        <w:widowControl/>
        <w:spacing w:before="75" w:beforeAutospacing="0" w:after="75" w:afterAutospacing="0" w:line="405" w:lineRule="atLeast"/>
        <w:ind w:firstLine="480"/>
        <w:rPr>
          <w:rFonts w:ascii="宋体" w:hAnsi="宋体" w:cs="宋体"/>
          <w:color w:val="auto"/>
          <w:sz w:val="21"/>
          <w:szCs w:val="21"/>
          <w:highlight w:val="none"/>
        </w:rPr>
      </w:pPr>
      <w:r>
        <w:rPr>
          <w:rFonts w:hint="eastAsia" w:ascii="宋体" w:hAnsi="宋体" w:cs="宋体"/>
          <w:color w:val="auto"/>
          <w:sz w:val="21"/>
          <w:szCs w:val="21"/>
          <w:highlight w:val="none"/>
        </w:rPr>
        <w:t>（1）响应文件满足磋商文件全部实质性要求，且按照评审因素的量化指标综合评审总得分从高到低顺序推荐成交候选人供应商，其中评审总得分最高的供应商为第一成交候选供应商。</w:t>
      </w:r>
    </w:p>
    <w:p>
      <w:pPr>
        <w:pStyle w:val="12"/>
        <w:widowControl/>
        <w:spacing w:before="75" w:beforeAutospacing="0" w:after="75" w:afterAutospacing="0" w:line="405" w:lineRule="atLeast"/>
        <w:ind w:firstLine="480"/>
        <w:rPr>
          <w:rFonts w:ascii="宋体" w:hAnsi="宋体" w:cs="宋体"/>
          <w:color w:val="auto"/>
          <w:sz w:val="21"/>
          <w:szCs w:val="21"/>
          <w:highlight w:val="none"/>
        </w:rPr>
      </w:pPr>
      <w:r>
        <w:rPr>
          <w:rFonts w:hint="eastAsia" w:ascii="宋体" w:hAnsi="宋体" w:cs="宋体"/>
          <w:color w:val="auto"/>
          <w:sz w:val="21"/>
          <w:szCs w:val="21"/>
          <w:highlight w:val="none"/>
        </w:rPr>
        <w:t>（2）每个供应商的评审总得分FA＝PA＋PB＋PC+PP（若有），其中：</w:t>
      </w:r>
    </w:p>
    <w:p>
      <w:pPr>
        <w:spacing w:line="500" w:lineRule="exact"/>
        <w:ind w:firstLine="630" w:firstLineChars="300"/>
        <w:rPr>
          <w:rFonts w:ascii="宋体" w:hAnsi="宋体" w:cs="宋体"/>
          <w:color w:val="auto"/>
          <w:szCs w:val="21"/>
          <w:highlight w:val="none"/>
        </w:rPr>
      </w:pPr>
      <w:r>
        <w:rPr>
          <w:rFonts w:hint="eastAsia" w:ascii="宋体" w:hAnsi="宋体" w:cs="宋体"/>
          <w:color w:val="auto"/>
          <w:szCs w:val="21"/>
          <w:highlight w:val="none"/>
        </w:rPr>
        <w:t xml:space="preserve">PA：报价部分           满分30分     </w:t>
      </w:r>
    </w:p>
    <w:p>
      <w:pPr>
        <w:spacing w:line="500" w:lineRule="exact"/>
        <w:ind w:firstLine="630" w:firstLineChars="300"/>
        <w:rPr>
          <w:rFonts w:ascii="宋体" w:hAnsi="宋体" w:cs="宋体"/>
          <w:color w:val="auto"/>
          <w:szCs w:val="21"/>
          <w:highlight w:val="none"/>
        </w:rPr>
      </w:pPr>
      <w:r>
        <w:rPr>
          <w:rFonts w:hint="eastAsia" w:ascii="宋体" w:hAnsi="宋体" w:cs="宋体"/>
          <w:color w:val="auto"/>
          <w:szCs w:val="21"/>
          <w:highlight w:val="none"/>
        </w:rPr>
        <w:t>PB：技术部分           满分60分</w:t>
      </w:r>
    </w:p>
    <w:p>
      <w:pPr>
        <w:spacing w:line="500" w:lineRule="exact"/>
        <w:ind w:firstLine="630" w:firstLineChars="300"/>
        <w:rPr>
          <w:rFonts w:ascii="宋体" w:hAnsi="宋体" w:cs="宋体"/>
          <w:color w:val="auto"/>
          <w:szCs w:val="21"/>
          <w:highlight w:val="none"/>
        </w:rPr>
      </w:pPr>
      <w:r>
        <w:rPr>
          <w:rFonts w:hint="eastAsia" w:ascii="宋体" w:hAnsi="宋体" w:cs="宋体"/>
          <w:color w:val="auto"/>
          <w:szCs w:val="21"/>
          <w:highlight w:val="none"/>
        </w:rPr>
        <w:t>PC：商务部分           满分10分</w:t>
      </w:r>
    </w:p>
    <w:p>
      <w:pPr>
        <w:spacing w:line="500" w:lineRule="exact"/>
        <w:ind w:firstLine="630" w:firstLineChars="300"/>
        <w:rPr>
          <w:rFonts w:ascii="宋体" w:hAnsi="宋体" w:cs="宋体"/>
          <w:color w:val="auto"/>
          <w:szCs w:val="21"/>
          <w:highlight w:val="none"/>
        </w:rPr>
      </w:pPr>
      <w:r>
        <w:rPr>
          <w:rFonts w:hint="eastAsia" w:ascii="宋体" w:hAnsi="宋体" w:cs="宋体"/>
          <w:color w:val="auto"/>
          <w:szCs w:val="21"/>
          <w:highlight w:val="none"/>
        </w:rPr>
        <w:t>PP： 优惠加分部分       满分：根据规定的加分幅度</w:t>
      </w:r>
    </w:p>
    <w:p>
      <w:pPr>
        <w:pStyle w:val="12"/>
        <w:widowControl/>
        <w:spacing w:before="75" w:beforeAutospacing="0" w:after="75" w:afterAutospacing="0" w:line="405" w:lineRule="atLeast"/>
        <w:ind w:firstLine="480"/>
        <w:rPr>
          <w:rFonts w:ascii="宋体" w:hAnsi="宋体" w:cs="宋体"/>
          <w:color w:val="auto"/>
          <w:sz w:val="21"/>
          <w:szCs w:val="21"/>
          <w:highlight w:val="none"/>
        </w:rPr>
      </w:pPr>
      <w:r>
        <w:rPr>
          <w:rFonts w:hint="eastAsia" w:ascii="宋体" w:hAnsi="宋体" w:cs="宋体"/>
          <w:color w:val="auto"/>
          <w:sz w:val="21"/>
          <w:szCs w:val="21"/>
          <w:highlight w:val="none"/>
        </w:rPr>
        <w:t>（3）各项评审因素的设置如下：</w:t>
      </w:r>
    </w:p>
    <w:p>
      <w:pPr>
        <w:pStyle w:val="12"/>
        <w:widowControl/>
        <w:spacing w:before="75" w:beforeAutospacing="0" w:after="75" w:afterAutospacing="0" w:line="405" w:lineRule="atLeast"/>
        <w:ind w:firstLine="480"/>
        <w:rPr>
          <w:rFonts w:ascii="宋体" w:hAnsi="宋体" w:cs="宋体"/>
          <w:color w:val="auto"/>
          <w:sz w:val="21"/>
          <w:szCs w:val="21"/>
          <w:highlight w:val="none"/>
        </w:rPr>
      </w:pPr>
      <w:r>
        <w:rPr>
          <w:rFonts w:hint="eastAsia" w:ascii="宋体" w:hAnsi="宋体" w:cs="宋体"/>
          <w:color w:val="auto"/>
          <w:sz w:val="21"/>
          <w:szCs w:val="21"/>
          <w:highlight w:val="none"/>
        </w:rPr>
        <w:t>包1</w:t>
      </w:r>
    </w:p>
    <w:p>
      <w:pPr>
        <w:pStyle w:val="12"/>
        <w:widowControl/>
        <w:spacing w:line="420" w:lineRule="atLeast"/>
        <w:ind w:firstLine="480"/>
        <w:rPr>
          <w:rFonts w:ascii="宋体" w:hAnsi="宋体" w:cs="宋体"/>
          <w:color w:val="auto"/>
          <w:sz w:val="21"/>
          <w:szCs w:val="21"/>
          <w:highlight w:val="none"/>
        </w:rPr>
      </w:pPr>
      <w:r>
        <w:rPr>
          <w:rFonts w:hint="eastAsia" w:ascii="宋体" w:hAnsi="宋体" w:cs="宋体"/>
          <w:b/>
          <w:color w:val="auto"/>
          <w:sz w:val="21"/>
          <w:szCs w:val="21"/>
          <w:highlight w:val="none"/>
        </w:rPr>
        <w:t>（一）</w:t>
      </w:r>
      <w:r>
        <w:rPr>
          <w:rStyle w:val="18"/>
          <w:rFonts w:hint="eastAsia" w:ascii="宋体" w:hAnsi="宋体" w:cs="宋体"/>
          <w:color w:val="auto"/>
          <w:sz w:val="21"/>
          <w:szCs w:val="21"/>
          <w:highlight w:val="none"/>
        </w:rPr>
        <w:t>技术部分评分PB            满分</w:t>
      </w:r>
      <w:r>
        <w:rPr>
          <w:rStyle w:val="18"/>
          <w:rFonts w:hint="eastAsia" w:ascii="宋体" w:hAnsi="宋体" w:cs="宋体"/>
          <w:color w:val="auto"/>
          <w:sz w:val="21"/>
          <w:szCs w:val="21"/>
          <w:highlight w:val="none"/>
          <w:u w:val="single"/>
        </w:rPr>
        <w:t>60</w:t>
      </w:r>
      <w:r>
        <w:rPr>
          <w:rStyle w:val="18"/>
          <w:rFonts w:hint="eastAsia" w:ascii="宋体" w:hAnsi="宋体" w:cs="宋体"/>
          <w:color w:val="auto"/>
          <w:sz w:val="21"/>
          <w:szCs w:val="21"/>
          <w:highlight w:val="none"/>
        </w:rPr>
        <w:t>分</w:t>
      </w:r>
    </w:p>
    <w:tbl>
      <w:tblPr>
        <w:tblStyle w:val="15"/>
        <w:tblW w:w="9519" w:type="dxa"/>
        <w:tblCellSpacing w:w="0" w:type="dxa"/>
        <w:tblInd w:w="-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1053"/>
        <w:gridCol w:w="1186"/>
        <w:gridCol w:w="72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31" w:hRule="atLeast"/>
          <w:tblHeader/>
          <w:tblCellSpacing w:w="0" w:type="dxa"/>
        </w:trPr>
        <w:tc>
          <w:tcPr>
            <w:tcW w:w="1053" w:type="dxa"/>
            <w:vAlign w:val="center"/>
          </w:tcPr>
          <w:p>
            <w:pPr>
              <w:keepNext w:val="0"/>
              <w:keepLines w:val="0"/>
              <w:widowControl/>
              <w:suppressLineNumbers w:val="0"/>
              <w:spacing w:before="0" w:beforeAutospacing="0" w:after="0" w:afterAutospacing="0" w:line="500" w:lineRule="exact"/>
              <w:ind w:left="0" w:right="0"/>
              <w:jc w:val="center"/>
              <w:textAlignment w:val="center"/>
              <w:rPr>
                <w:rFonts w:hint="default" w:ascii="宋体" w:hAnsi="宋体" w:cs="宋体"/>
                <w:bCs/>
                <w:color w:val="auto"/>
                <w:kern w:val="0"/>
                <w:szCs w:val="21"/>
                <w:highlight w:val="none"/>
                <w:lang w:bidi="ar"/>
              </w:rPr>
            </w:pPr>
            <w:r>
              <w:rPr>
                <w:rFonts w:hint="default" w:ascii="宋体" w:hAnsi="宋体" w:cs="宋体"/>
                <w:bCs/>
                <w:color w:val="auto"/>
                <w:kern w:val="0"/>
                <w:szCs w:val="21"/>
                <w:highlight w:val="none"/>
                <w:lang w:bidi="ar"/>
              </w:rPr>
              <w:t>评标项目</w:t>
            </w:r>
          </w:p>
        </w:tc>
        <w:tc>
          <w:tcPr>
            <w:tcW w:w="1186" w:type="dxa"/>
            <w:vAlign w:val="center"/>
          </w:tcPr>
          <w:p>
            <w:pPr>
              <w:keepNext w:val="0"/>
              <w:keepLines w:val="0"/>
              <w:widowControl/>
              <w:suppressLineNumbers w:val="0"/>
              <w:spacing w:before="0" w:beforeAutospacing="0" w:after="0" w:afterAutospacing="0" w:line="500" w:lineRule="exact"/>
              <w:ind w:left="0" w:right="0"/>
              <w:jc w:val="center"/>
              <w:textAlignment w:val="center"/>
              <w:rPr>
                <w:rFonts w:hint="default" w:ascii="宋体" w:hAnsi="宋体" w:cs="宋体"/>
                <w:bCs/>
                <w:color w:val="auto"/>
                <w:kern w:val="0"/>
                <w:szCs w:val="21"/>
                <w:highlight w:val="none"/>
                <w:lang w:bidi="ar"/>
              </w:rPr>
            </w:pPr>
            <w:r>
              <w:rPr>
                <w:rFonts w:hint="default" w:ascii="宋体" w:hAnsi="宋体" w:cs="宋体"/>
                <w:bCs/>
                <w:color w:val="auto"/>
                <w:kern w:val="0"/>
                <w:szCs w:val="21"/>
                <w:highlight w:val="none"/>
                <w:lang w:bidi="ar"/>
              </w:rPr>
              <w:t>评标分值</w:t>
            </w:r>
          </w:p>
        </w:tc>
        <w:tc>
          <w:tcPr>
            <w:tcW w:w="7280" w:type="dxa"/>
            <w:vAlign w:val="center"/>
          </w:tcPr>
          <w:p>
            <w:pPr>
              <w:keepNext w:val="0"/>
              <w:keepLines w:val="0"/>
              <w:widowControl/>
              <w:suppressLineNumbers w:val="0"/>
              <w:spacing w:before="0" w:beforeAutospacing="0" w:after="0" w:afterAutospacing="0" w:line="500" w:lineRule="exact"/>
              <w:ind w:left="0" w:right="0"/>
              <w:jc w:val="center"/>
              <w:textAlignment w:val="center"/>
              <w:rPr>
                <w:rFonts w:hint="default" w:ascii="宋体" w:hAnsi="宋体" w:cs="宋体"/>
                <w:bCs/>
                <w:color w:val="auto"/>
                <w:kern w:val="0"/>
                <w:szCs w:val="21"/>
                <w:highlight w:val="none"/>
                <w:lang w:bidi="ar"/>
              </w:rPr>
            </w:pPr>
            <w:r>
              <w:rPr>
                <w:rFonts w:hint="default" w:ascii="宋体" w:hAnsi="宋体" w:cs="宋体"/>
                <w:bCs/>
                <w:color w:val="auto"/>
                <w:kern w:val="0"/>
                <w:szCs w:val="21"/>
                <w:highlight w:val="none"/>
                <w:lang w:bidi="ar"/>
              </w:rPr>
              <w:t>评标方法描述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023" w:hRule="atLeast"/>
          <w:tblCellSpacing w:w="0" w:type="dxa"/>
        </w:trPr>
        <w:tc>
          <w:tcPr>
            <w:tcW w:w="1053" w:type="dxa"/>
            <w:vAlign w:val="center"/>
          </w:tcPr>
          <w:p>
            <w:pPr>
              <w:keepNext w:val="0"/>
              <w:keepLines w:val="0"/>
              <w:widowControl/>
              <w:suppressLineNumbers w:val="0"/>
              <w:spacing w:before="0" w:beforeAutospacing="0" w:after="0" w:afterAutospacing="0" w:line="500" w:lineRule="exact"/>
              <w:ind w:left="0" w:right="0"/>
              <w:jc w:val="center"/>
              <w:textAlignment w:val="center"/>
              <w:rPr>
                <w:rFonts w:hint="default" w:ascii="宋体" w:hAnsi="宋体" w:cs="宋体"/>
                <w:bCs/>
                <w:color w:val="auto"/>
                <w:kern w:val="0"/>
                <w:szCs w:val="21"/>
                <w:highlight w:val="none"/>
                <w:lang w:bidi="ar"/>
              </w:rPr>
            </w:pPr>
            <w:r>
              <w:rPr>
                <w:rFonts w:hint="default" w:ascii="宋体" w:hAnsi="宋体" w:cs="宋体"/>
                <w:bCs/>
                <w:color w:val="auto"/>
                <w:kern w:val="0"/>
                <w:szCs w:val="21"/>
                <w:highlight w:val="none"/>
                <w:lang w:bidi="ar"/>
              </w:rPr>
              <w:t>技术参数规格及要求</w:t>
            </w:r>
          </w:p>
        </w:tc>
        <w:tc>
          <w:tcPr>
            <w:tcW w:w="1186" w:type="dxa"/>
            <w:vAlign w:val="center"/>
          </w:tcPr>
          <w:p>
            <w:pPr>
              <w:keepNext w:val="0"/>
              <w:keepLines w:val="0"/>
              <w:widowControl/>
              <w:suppressLineNumbers w:val="0"/>
              <w:spacing w:before="0" w:beforeAutospacing="0" w:after="0" w:afterAutospacing="0" w:line="500" w:lineRule="exact"/>
              <w:ind w:left="0" w:right="0"/>
              <w:jc w:val="center"/>
              <w:textAlignment w:val="center"/>
              <w:rPr>
                <w:rFonts w:hint="default" w:ascii="宋体" w:hAnsi="宋体" w:cs="宋体"/>
                <w:bCs/>
                <w:color w:val="auto"/>
                <w:kern w:val="0"/>
                <w:szCs w:val="21"/>
                <w:highlight w:val="none"/>
                <w:lang w:bidi="ar"/>
              </w:rPr>
            </w:pPr>
            <w:r>
              <w:rPr>
                <w:rFonts w:hint="default" w:ascii="宋体" w:hAnsi="宋体" w:cs="宋体"/>
                <w:bCs/>
                <w:color w:val="auto"/>
                <w:kern w:val="0"/>
                <w:szCs w:val="21"/>
                <w:highlight w:val="none"/>
                <w:lang w:bidi="ar"/>
              </w:rPr>
              <w:t>48</w:t>
            </w:r>
          </w:p>
        </w:tc>
        <w:tc>
          <w:tcPr>
            <w:tcW w:w="7280" w:type="dxa"/>
            <w:vAlign w:val="center"/>
          </w:tcPr>
          <w:p>
            <w:pPr>
              <w:keepNext w:val="0"/>
              <w:keepLines w:val="0"/>
              <w:widowControl/>
              <w:suppressLineNumbers w:val="0"/>
              <w:spacing w:before="0" w:beforeAutospacing="0" w:after="0" w:afterAutospacing="0" w:line="500" w:lineRule="exact"/>
              <w:ind w:left="0" w:right="0" w:firstLine="420" w:firstLineChars="200"/>
              <w:jc w:val="left"/>
              <w:textAlignment w:val="center"/>
              <w:rPr>
                <w:rFonts w:hint="default" w:ascii="宋体" w:hAnsi="宋体" w:cs="宋体"/>
                <w:bCs/>
                <w:color w:val="auto"/>
                <w:kern w:val="0"/>
                <w:szCs w:val="21"/>
                <w:highlight w:val="none"/>
                <w:lang w:bidi="ar"/>
              </w:rPr>
            </w:pPr>
            <w:r>
              <w:rPr>
                <w:rFonts w:hint="default" w:ascii="宋体" w:hAnsi="宋体" w:cs="宋体"/>
                <w:bCs/>
                <w:color w:val="auto"/>
                <w:kern w:val="0"/>
                <w:szCs w:val="21"/>
                <w:highlight w:val="none"/>
                <w:lang w:bidi="ar"/>
              </w:rPr>
              <w:t>根据各</w:t>
            </w:r>
            <w:r>
              <w:rPr>
                <w:rFonts w:hint="eastAsia" w:ascii="宋体" w:hAnsi="宋体" w:cs="宋体"/>
                <w:bCs/>
                <w:color w:val="auto"/>
                <w:kern w:val="0"/>
                <w:szCs w:val="21"/>
                <w:highlight w:val="none"/>
                <w:lang w:bidi="ar"/>
              </w:rPr>
              <w:t>供应商</w:t>
            </w:r>
            <w:r>
              <w:rPr>
                <w:rFonts w:hint="eastAsia" w:ascii="宋体" w:hAnsi="宋体" w:cs="宋体"/>
                <w:color w:val="auto"/>
                <w:szCs w:val="21"/>
                <w:highlight w:val="none"/>
              </w:rPr>
              <w:t>所投货物、服务</w:t>
            </w:r>
            <w:r>
              <w:rPr>
                <w:rFonts w:hint="default" w:ascii="宋体" w:hAnsi="宋体" w:cs="宋体"/>
                <w:bCs/>
                <w:color w:val="auto"/>
                <w:kern w:val="0"/>
                <w:szCs w:val="21"/>
                <w:highlight w:val="none"/>
                <w:lang w:bidi="ar"/>
              </w:rPr>
              <w:t>对</w:t>
            </w:r>
            <w:r>
              <w:rPr>
                <w:rFonts w:hint="eastAsia" w:ascii="宋体" w:hAnsi="宋体" w:cs="宋体"/>
                <w:bCs/>
                <w:color w:val="auto"/>
                <w:kern w:val="0"/>
                <w:szCs w:val="21"/>
                <w:highlight w:val="none"/>
                <w:lang w:bidi="ar"/>
              </w:rPr>
              <w:t>磋商文件</w:t>
            </w:r>
            <w:r>
              <w:rPr>
                <w:rFonts w:hint="eastAsia" w:ascii="宋体" w:hAnsi="宋体" w:cs="宋体"/>
                <w:color w:val="auto"/>
                <w:kern w:val="0"/>
                <w:szCs w:val="21"/>
                <w:highlight w:val="none"/>
                <w:lang w:bidi="ar"/>
              </w:rPr>
              <w:t>第三章《采购内容及要求》第二条款“技术和服务要求”中各项要求的逐项响应承诺等方面情况由磋商小组进行评分</w:t>
            </w:r>
            <w:r>
              <w:rPr>
                <w:rFonts w:hint="default" w:ascii="宋体" w:hAnsi="宋体" w:cs="宋体"/>
                <w:bCs/>
                <w:color w:val="auto"/>
                <w:kern w:val="0"/>
                <w:szCs w:val="21"/>
                <w:highlight w:val="none"/>
                <w:lang w:bidi="ar"/>
              </w:rPr>
              <w:t>（</w:t>
            </w:r>
            <w:r>
              <w:rPr>
                <w:rFonts w:hint="eastAsia" w:ascii="宋体" w:hAnsi="宋体" w:cs="宋体"/>
                <w:bCs/>
                <w:color w:val="auto"/>
                <w:kern w:val="0"/>
                <w:szCs w:val="21"/>
                <w:highlight w:val="none"/>
                <w:lang w:bidi="ar"/>
              </w:rPr>
              <w:t>有要求提供佐证材料的，供应商需按要求提供相关佐证材料，否则视为负偏离</w:t>
            </w:r>
            <w:r>
              <w:rPr>
                <w:rFonts w:hint="default" w:ascii="宋体" w:hAnsi="宋体" w:cs="宋体"/>
                <w:bCs/>
                <w:color w:val="auto"/>
                <w:kern w:val="0"/>
                <w:szCs w:val="21"/>
                <w:highlight w:val="none"/>
                <w:lang w:bidi="ar"/>
              </w:rPr>
              <w:t>）</w:t>
            </w:r>
            <w:r>
              <w:rPr>
                <w:rFonts w:hint="eastAsia" w:ascii="宋体" w:hAnsi="宋体" w:cs="宋体"/>
                <w:bCs/>
                <w:color w:val="auto"/>
                <w:kern w:val="0"/>
                <w:szCs w:val="21"/>
                <w:highlight w:val="none"/>
                <w:lang w:eastAsia="zh-CN" w:bidi="ar"/>
              </w:rPr>
              <w:t>：</w:t>
            </w:r>
            <w:r>
              <w:rPr>
                <w:rFonts w:hint="eastAsia" w:ascii="宋体" w:hAnsi="宋体" w:cs="Segoe UI"/>
                <w:color w:val="auto"/>
                <w:kern w:val="0"/>
                <w:szCs w:val="21"/>
                <w:highlight w:val="none"/>
              </w:rPr>
              <w:t>①供应商所投产品完全满足或者优于磋商文件要求的，得满分48分。②</w:t>
            </w:r>
            <w:r>
              <w:rPr>
                <w:rFonts w:hint="eastAsia" w:ascii="宋体" w:hAnsi="宋体" w:cs="Segoe UI"/>
                <w:b/>
                <w:bCs/>
                <w:color w:val="auto"/>
                <w:kern w:val="0"/>
                <w:szCs w:val="21"/>
                <w:highlight w:val="none"/>
              </w:rPr>
              <w:t>其中带“★”的技术指标项为关键参数，不允许负偏离，负偏离（不满足）的即视为未实际性响应</w:t>
            </w:r>
            <w:r>
              <w:rPr>
                <w:rFonts w:hint="eastAsia" w:ascii="宋体" w:hAnsi="宋体" w:cs="Segoe UI"/>
                <w:bCs/>
                <w:color w:val="auto"/>
                <w:kern w:val="0"/>
                <w:szCs w:val="21"/>
                <w:highlight w:val="none"/>
              </w:rPr>
              <w:t>磋商文件</w:t>
            </w:r>
            <w:r>
              <w:rPr>
                <w:rFonts w:hint="eastAsia" w:ascii="宋体" w:hAnsi="宋体" w:cs="Segoe UI"/>
                <w:b/>
                <w:bCs/>
                <w:color w:val="auto"/>
                <w:kern w:val="0"/>
                <w:szCs w:val="21"/>
                <w:highlight w:val="none"/>
              </w:rPr>
              <w:t>，按无效投标处理</w:t>
            </w:r>
            <w:r>
              <w:rPr>
                <w:rFonts w:hint="eastAsia" w:ascii="宋体" w:hAnsi="宋体" w:cs="Segoe UI"/>
                <w:color w:val="auto"/>
                <w:kern w:val="0"/>
                <w:szCs w:val="21"/>
                <w:highlight w:val="none"/>
              </w:rPr>
              <w:t>。③带“▲”号的技术指标项为重要参数，每负偏离一项扣3分（合计9项，共27分）；④其他技术指标项每负偏离（不满足）一项扣0.2分（合计107项）；正偏离不加分；最低0分。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439" w:hRule="atLeast"/>
          <w:tblCellSpacing w:w="0" w:type="dxa"/>
        </w:trPr>
        <w:tc>
          <w:tcPr>
            <w:tcW w:w="1053" w:type="dxa"/>
            <w:vAlign w:val="center"/>
          </w:tcPr>
          <w:p>
            <w:pPr>
              <w:keepNext w:val="0"/>
              <w:keepLines w:val="0"/>
              <w:widowControl/>
              <w:suppressLineNumbers w:val="0"/>
              <w:spacing w:before="0" w:beforeAutospacing="0" w:after="0" w:afterAutospacing="0" w:line="500" w:lineRule="exact"/>
              <w:ind w:left="0" w:right="0"/>
              <w:jc w:val="center"/>
              <w:textAlignment w:val="center"/>
              <w:rPr>
                <w:rFonts w:hint="default" w:ascii="宋体" w:hAnsi="宋体" w:cs="宋体"/>
                <w:bCs/>
                <w:color w:val="auto"/>
                <w:kern w:val="0"/>
                <w:szCs w:val="21"/>
                <w:highlight w:val="none"/>
                <w:lang w:bidi="ar"/>
              </w:rPr>
            </w:pPr>
            <w:r>
              <w:rPr>
                <w:rFonts w:hint="default" w:ascii="宋体" w:hAnsi="宋体" w:cs="宋体"/>
                <w:bCs/>
                <w:color w:val="auto"/>
                <w:kern w:val="0"/>
                <w:szCs w:val="21"/>
                <w:highlight w:val="none"/>
                <w:lang w:bidi="ar"/>
              </w:rPr>
              <w:t>质量保障方案</w:t>
            </w:r>
          </w:p>
        </w:tc>
        <w:tc>
          <w:tcPr>
            <w:tcW w:w="1186" w:type="dxa"/>
            <w:vAlign w:val="center"/>
          </w:tcPr>
          <w:p>
            <w:pPr>
              <w:keepNext w:val="0"/>
              <w:keepLines w:val="0"/>
              <w:widowControl/>
              <w:suppressLineNumbers w:val="0"/>
              <w:spacing w:before="0" w:beforeAutospacing="0" w:after="0" w:afterAutospacing="0" w:line="500" w:lineRule="exact"/>
              <w:ind w:left="0" w:right="0"/>
              <w:jc w:val="center"/>
              <w:textAlignment w:val="center"/>
              <w:rPr>
                <w:rFonts w:hint="default" w:ascii="宋体" w:hAnsi="宋体" w:cs="宋体"/>
                <w:bCs/>
                <w:color w:val="auto"/>
                <w:kern w:val="0"/>
                <w:szCs w:val="21"/>
                <w:highlight w:val="none"/>
                <w:lang w:bidi="ar"/>
              </w:rPr>
            </w:pPr>
            <w:r>
              <w:rPr>
                <w:rFonts w:hint="eastAsia" w:ascii="宋体" w:hAnsi="宋体" w:cs="宋体"/>
                <w:bCs/>
                <w:color w:val="auto"/>
                <w:kern w:val="0"/>
                <w:szCs w:val="21"/>
                <w:highlight w:val="none"/>
                <w:lang w:bidi="ar"/>
              </w:rPr>
              <w:t>2</w:t>
            </w:r>
          </w:p>
        </w:tc>
        <w:tc>
          <w:tcPr>
            <w:tcW w:w="7280" w:type="dxa"/>
            <w:vAlign w:val="center"/>
          </w:tcPr>
          <w:p>
            <w:pPr>
              <w:keepNext w:val="0"/>
              <w:keepLines w:val="0"/>
              <w:widowControl/>
              <w:suppressLineNumbers w:val="0"/>
              <w:spacing w:before="0" w:beforeAutospacing="0" w:after="0" w:afterAutospacing="0" w:line="500" w:lineRule="exact"/>
              <w:ind w:left="0" w:right="0" w:firstLine="420" w:firstLineChars="200"/>
              <w:jc w:val="left"/>
              <w:textAlignment w:val="center"/>
              <w:rPr>
                <w:rFonts w:hint="default" w:ascii="宋体" w:hAnsi="宋体" w:cs="宋体"/>
                <w:bCs/>
                <w:color w:val="auto"/>
                <w:kern w:val="0"/>
                <w:szCs w:val="21"/>
                <w:highlight w:val="none"/>
                <w:lang w:bidi="ar"/>
              </w:rPr>
            </w:pPr>
            <w:r>
              <w:rPr>
                <w:rFonts w:hint="eastAsia" w:ascii="宋体" w:hAnsi="宋体" w:cs="宋体"/>
                <w:bCs/>
                <w:color w:val="auto"/>
                <w:kern w:val="0"/>
                <w:szCs w:val="21"/>
                <w:highlight w:val="none"/>
                <w:lang w:bidi="ar"/>
              </w:rPr>
              <w:t>根据供应商</w:t>
            </w:r>
            <w:r>
              <w:rPr>
                <w:rFonts w:hint="default" w:ascii="宋体" w:hAnsi="宋体" w:cs="宋体"/>
                <w:bCs/>
                <w:color w:val="auto"/>
                <w:kern w:val="0"/>
                <w:szCs w:val="21"/>
                <w:highlight w:val="none"/>
                <w:lang w:bidi="ar"/>
              </w:rPr>
              <w:t>提供的质量保障方案</w:t>
            </w:r>
            <w:r>
              <w:rPr>
                <w:rFonts w:hint="eastAsia" w:ascii="宋体" w:hAnsi="宋体" w:cs="宋体"/>
                <w:bCs/>
                <w:color w:val="auto"/>
                <w:kern w:val="0"/>
                <w:szCs w:val="21"/>
                <w:highlight w:val="none"/>
                <w:lang w:bidi="ar"/>
              </w:rPr>
              <w:t>：包括质量保证体系、质量保证措施等由磋商小组进行评分：</w:t>
            </w:r>
            <w:r>
              <w:rPr>
                <w:rFonts w:hint="eastAsia" w:ascii="宋体" w:hAnsi="宋体" w:cs="宋体"/>
                <w:color w:val="auto"/>
                <w:kern w:val="0"/>
                <w:szCs w:val="21"/>
                <w:highlight w:val="none"/>
              </w:rPr>
              <w:t>方案完整且措施描述详细的得1分；在此基础上，能针对项目实际情况进行优化并具可实施性的得2分；提供的方案不符合本项目需求的或未提供的不得分；本项满分2分。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528" w:hRule="atLeast"/>
          <w:tblCellSpacing w:w="0" w:type="dxa"/>
        </w:trPr>
        <w:tc>
          <w:tcPr>
            <w:tcW w:w="1053" w:type="dxa"/>
            <w:vAlign w:val="center"/>
          </w:tcPr>
          <w:p>
            <w:pPr>
              <w:keepNext w:val="0"/>
              <w:keepLines w:val="0"/>
              <w:widowControl/>
              <w:suppressLineNumbers w:val="0"/>
              <w:spacing w:before="0" w:beforeAutospacing="0" w:after="0" w:afterAutospacing="0" w:line="500" w:lineRule="exact"/>
              <w:ind w:left="0" w:right="0"/>
              <w:jc w:val="center"/>
              <w:textAlignment w:val="center"/>
              <w:rPr>
                <w:rFonts w:hint="default" w:ascii="宋体" w:hAnsi="宋体" w:cs="宋体"/>
                <w:bCs/>
                <w:color w:val="auto"/>
                <w:kern w:val="0"/>
                <w:szCs w:val="21"/>
                <w:highlight w:val="none"/>
                <w:lang w:bidi="ar"/>
              </w:rPr>
            </w:pPr>
            <w:r>
              <w:rPr>
                <w:rFonts w:hint="default" w:ascii="宋体" w:hAnsi="宋体" w:cs="宋体"/>
                <w:bCs/>
                <w:color w:val="auto"/>
                <w:kern w:val="0"/>
                <w:szCs w:val="21"/>
                <w:highlight w:val="none"/>
                <w:lang w:bidi="ar"/>
              </w:rPr>
              <w:t>施工组织、供货计划及安装实施方案</w:t>
            </w:r>
          </w:p>
        </w:tc>
        <w:tc>
          <w:tcPr>
            <w:tcW w:w="1186" w:type="dxa"/>
            <w:vAlign w:val="center"/>
          </w:tcPr>
          <w:p>
            <w:pPr>
              <w:keepNext w:val="0"/>
              <w:keepLines w:val="0"/>
              <w:widowControl/>
              <w:suppressLineNumbers w:val="0"/>
              <w:spacing w:before="0" w:beforeAutospacing="0" w:after="0" w:afterAutospacing="0" w:line="500" w:lineRule="exact"/>
              <w:ind w:left="0" w:right="0"/>
              <w:jc w:val="center"/>
              <w:textAlignment w:val="center"/>
              <w:rPr>
                <w:rFonts w:hint="default" w:ascii="宋体" w:hAnsi="宋体" w:cs="宋体"/>
                <w:bCs/>
                <w:color w:val="auto"/>
                <w:kern w:val="0"/>
                <w:szCs w:val="21"/>
                <w:highlight w:val="none"/>
                <w:lang w:bidi="ar"/>
              </w:rPr>
            </w:pPr>
            <w:r>
              <w:rPr>
                <w:rFonts w:hint="eastAsia" w:ascii="宋体" w:hAnsi="宋体" w:cs="宋体"/>
                <w:bCs/>
                <w:color w:val="auto"/>
                <w:kern w:val="0"/>
                <w:szCs w:val="21"/>
                <w:highlight w:val="none"/>
                <w:lang w:bidi="ar"/>
              </w:rPr>
              <w:t>2</w:t>
            </w:r>
          </w:p>
        </w:tc>
        <w:tc>
          <w:tcPr>
            <w:tcW w:w="7280" w:type="dxa"/>
            <w:vAlign w:val="center"/>
          </w:tcPr>
          <w:p>
            <w:pPr>
              <w:keepNext w:val="0"/>
              <w:keepLines w:val="0"/>
              <w:widowControl/>
              <w:suppressLineNumbers w:val="0"/>
              <w:spacing w:before="0" w:beforeAutospacing="0" w:after="0" w:afterAutospacing="0" w:line="500" w:lineRule="exact"/>
              <w:ind w:left="0" w:right="0" w:firstLine="420" w:firstLineChars="200"/>
              <w:jc w:val="left"/>
              <w:textAlignment w:val="center"/>
              <w:rPr>
                <w:rFonts w:hint="default" w:ascii="宋体" w:hAnsi="宋体" w:cs="宋体"/>
                <w:bCs/>
                <w:color w:val="auto"/>
                <w:kern w:val="0"/>
                <w:szCs w:val="21"/>
                <w:highlight w:val="none"/>
                <w:lang w:bidi="ar"/>
              </w:rPr>
            </w:pPr>
            <w:r>
              <w:rPr>
                <w:rFonts w:hint="eastAsia" w:ascii="宋体" w:hAnsi="宋体" w:cs="宋体"/>
                <w:bCs/>
                <w:color w:val="auto"/>
                <w:kern w:val="0"/>
                <w:szCs w:val="21"/>
                <w:highlight w:val="none"/>
                <w:lang w:bidi="ar"/>
              </w:rPr>
              <w:t>根据供应商</w:t>
            </w:r>
            <w:r>
              <w:rPr>
                <w:rFonts w:hint="default" w:ascii="宋体" w:hAnsi="宋体" w:cs="宋体"/>
                <w:bCs/>
                <w:color w:val="auto"/>
                <w:kern w:val="0"/>
                <w:szCs w:val="21"/>
                <w:highlight w:val="none"/>
                <w:lang w:bidi="ar"/>
              </w:rPr>
              <w:t>编制的货物安装实施方案</w:t>
            </w:r>
            <w:r>
              <w:rPr>
                <w:rFonts w:hint="eastAsia" w:ascii="宋体" w:hAnsi="宋体" w:cs="宋体"/>
                <w:bCs/>
                <w:color w:val="auto"/>
                <w:kern w:val="0"/>
                <w:szCs w:val="21"/>
                <w:highlight w:val="none"/>
                <w:lang w:bidi="ar"/>
              </w:rPr>
              <w:t>：</w:t>
            </w:r>
            <w:r>
              <w:rPr>
                <w:rFonts w:hint="default" w:ascii="宋体" w:hAnsi="宋体" w:cs="宋体"/>
                <w:bCs/>
                <w:color w:val="auto"/>
                <w:kern w:val="0"/>
                <w:szCs w:val="21"/>
                <w:highlight w:val="none"/>
                <w:lang w:bidi="ar"/>
              </w:rPr>
              <w:t>技术说明情况、货物如何进场、货物进场交接清单安排、各专业配合、质量、进度</w:t>
            </w:r>
            <w:r>
              <w:rPr>
                <w:rFonts w:hint="eastAsia" w:ascii="宋体" w:hAnsi="宋体" w:cs="宋体"/>
                <w:bCs/>
                <w:color w:val="auto"/>
                <w:kern w:val="0"/>
                <w:szCs w:val="21"/>
                <w:highlight w:val="none"/>
                <w:lang w:bidi="ar"/>
              </w:rPr>
              <w:t>安排</w:t>
            </w:r>
            <w:r>
              <w:rPr>
                <w:rFonts w:hint="default" w:ascii="宋体" w:hAnsi="宋体" w:cs="宋体"/>
                <w:bCs/>
                <w:color w:val="auto"/>
                <w:kern w:val="0"/>
                <w:szCs w:val="21"/>
                <w:highlight w:val="none"/>
                <w:lang w:bidi="ar"/>
              </w:rPr>
              <w:t>、安全目标以及保障措施等，</w:t>
            </w:r>
            <w:r>
              <w:rPr>
                <w:rFonts w:hint="eastAsia" w:ascii="宋体" w:hAnsi="宋体" w:cs="宋体"/>
                <w:bCs/>
                <w:color w:val="auto"/>
                <w:kern w:val="0"/>
                <w:szCs w:val="21"/>
                <w:highlight w:val="none"/>
                <w:lang w:bidi="ar"/>
              </w:rPr>
              <w:t>由磋商小组进行评分：</w:t>
            </w:r>
            <w:r>
              <w:rPr>
                <w:rFonts w:hint="eastAsia" w:ascii="宋体" w:hAnsi="宋体" w:cs="宋体"/>
                <w:color w:val="auto"/>
                <w:kern w:val="0"/>
                <w:szCs w:val="21"/>
                <w:highlight w:val="none"/>
              </w:rPr>
              <w:t>方案完整且措施描述详细的得1分；在此基础上，能针对项目实际情况进行优化并具可实施性的得2分；提供的方案不符合本项目需求的或未提供或有缺漏项的不得分。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26" w:hRule="atLeast"/>
          <w:tblCellSpacing w:w="0" w:type="dxa"/>
        </w:trPr>
        <w:tc>
          <w:tcPr>
            <w:tcW w:w="1053" w:type="dxa"/>
            <w:vMerge w:val="restart"/>
            <w:vAlign w:val="center"/>
          </w:tcPr>
          <w:p>
            <w:pPr>
              <w:keepNext w:val="0"/>
              <w:keepLines w:val="0"/>
              <w:widowControl/>
              <w:suppressLineNumbers w:val="0"/>
              <w:spacing w:before="0" w:beforeAutospacing="0" w:after="0" w:afterAutospacing="0" w:line="500" w:lineRule="exact"/>
              <w:ind w:left="0" w:right="0"/>
              <w:jc w:val="center"/>
              <w:textAlignment w:val="center"/>
              <w:rPr>
                <w:rFonts w:hint="default" w:ascii="宋体" w:hAnsi="宋体" w:cs="宋体"/>
                <w:bCs/>
                <w:color w:val="auto"/>
                <w:kern w:val="0"/>
                <w:szCs w:val="21"/>
                <w:highlight w:val="none"/>
                <w:lang w:bidi="ar"/>
              </w:rPr>
            </w:pPr>
            <w:r>
              <w:rPr>
                <w:rFonts w:hint="eastAsia" w:ascii="宋体" w:hAnsi="宋体" w:cs="宋体"/>
                <w:bCs/>
                <w:color w:val="auto"/>
                <w:kern w:val="0"/>
                <w:szCs w:val="21"/>
                <w:highlight w:val="none"/>
                <w:lang w:bidi="ar"/>
              </w:rPr>
              <w:t>现场演示（演示时间≤10分钟）</w:t>
            </w:r>
          </w:p>
        </w:tc>
        <w:tc>
          <w:tcPr>
            <w:tcW w:w="1186" w:type="dxa"/>
            <w:vAlign w:val="center"/>
          </w:tcPr>
          <w:p>
            <w:pPr>
              <w:keepNext w:val="0"/>
              <w:keepLines w:val="0"/>
              <w:widowControl/>
              <w:suppressLineNumbers w:val="0"/>
              <w:spacing w:before="0" w:beforeAutospacing="0" w:after="0" w:afterAutospacing="0" w:line="500" w:lineRule="exact"/>
              <w:ind w:left="0" w:right="0"/>
              <w:jc w:val="center"/>
              <w:textAlignment w:val="center"/>
              <w:rPr>
                <w:rFonts w:hint="default" w:ascii="宋体" w:hAnsi="宋体" w:cs="宋体"/>
                <w:bCs/>
                <w:color w:val="auto"/>
                <w:kern w:val="0"/>
                <w:szCs w:val="21"/>
                <w:highlight w:val="none"/>
                <w:lang w:bidi="ar"/>
              </w:rPr>
            </w:pPr>
            <w:r>
              <w:rPr>
                <w:rFonts w:hint="eastAsia" w:ascii="宋体" w:hAnsi="宋体" w:cs="宋体"/>
                <w:bCs/>
                <w:color w:val="auto"/>
                <w:kern w:val="0"/>
                <w:szCs w:val="21"/>
                <w:highlight w:val="none"/>
                <w:lang w:bidi="ar"/>
              </w:rPr>
              <w:t>2</w:t>
            </w:r>
          </w:p>
        </w:tc>
        <w:tc>
          <w:tcPr>
            <w:tcW w:w="7280" w:type="dxa"/>
            <w:vAlign w:val="center"/>
          </w:tcPr>
          <w:p>
            <w:pPr>
              <w:keepNext w:val="0"/>
              <w:keepLines w:val="0"/>
              <w:widowControl/>
              <w:suppressLineNumbers w:val="0"/>
              <w:spacing w:before="0" w:beforeAutospacing="0" w:after="0" w:afterAutospacing="0" w:line="500" w:lineRule="exact"/>
              <w:ind w:left="0" w:right="0" w:firstLine="420" w:firstLineChars="200"/>
              <w:jc w:val="left"/>
              <w:textAlignment w:val="center"/>
              <w:rPr>
                <w:rFonts w:hint="default" w:ascii="宋体" w:hAnsi="宋体" w:cs="宋体"/>
                <w:bCs/>
                <w:color w:val="auto"/>
                <w:kern w:val="0"/>
                <w:szCs w:val="21"/>
                <w:highlight w:val="none"/>
                <w:lang w:bidi="ar"/>
              </w:rPr>
            </w:pPr>
            <w:r>
              <w:rPr>
                <w:rFonts w:hint="eastAsia" w:ascii="宋体" w:hAnsi="宋体" w:cs="宋体"/>
                <w:bCs/>
                <w:color w:val="auto"/>
                <w:kern w:val="0"/>
                <w:szCs w:val="21"/>
                <w:highlight w:val="none"/>
                <w:lang w:bidi="ar"/>
              </w:rPr>
              <w:t>供应商所提供的产品智能配电系统具有：</w:t>
            </w:r>
            <w:r>
              <w:rPr>
                <w:rFonts w:hint="eastAsia" w:ascii="宋体" w:hAnsi="宋体" w:cs="宋体"/>
                <w:b/>
                <w:color w:val="auto"/>
                <w:kern w:val="0"/>
                <w:szCs w:val="21"/>
                <w:highlight w:val="none"/>
                <w:lang w:bidi="ar"/>
              </w:rPr>
              <w:t>过压欠压保护</w:t>
            </w:r>
            <w:r>
              <w:rPr>
                <w:rFonts w:hint="eastAsia" w:ascii="宋体" w:hAnsi="宋体" w:cs="宋体"/>
                <w:bCs/>
                <w:color w:val="auto"/>
                <w:kern w:val="0"/>
                <w:szCs w:val="21"/>
                <w:highlight w:val="none"/>
                <w:lang w:bidi="ar"/>
              </w:rPr>
              <w:t>。当三相电中任意单相电输入电压超过265V，10S内断电保护，超过250V预警；当三相电中任意单相电输入电压50~100V，10S内欠压断电保护，低于190V预警；可按需调整。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034" w:hRule="atLeast"/>
          <w:tblCellSpacing w:w="0" w:type="dxa"/>
        </w:trPr>
        <w:tc>
          <w:tcPr>
            <w:tcW w:w="1053" w:type="dxa"/>
            <w:vMerge w:val="continue"/>
            <w:vAlign w:val="center"/>
          </w:tcPr>
          <w:p>
            <w:pPr>
              <w:keepNext w:val="0"/>
              <w:keepLines w:val="0"/>
              <w:widowControl/>
              <w:suppressLineNumbers w:val="0"/>
              <w:spacing w:before="0" w:beforeAutospacing="0" w:after="0" w:afterAutospacing="0" w:line="500" w:lineRule="exact"/>
              <w:ind w:left="0" w:right="0"/>
              <w:jc w:val="center"/>
              <w:textAlignment w:val="center"/>
              <w:rPr>
                <w:rFonts w:hint="default" w:ascii="宋体" w:hAnsi="宋体" w:cs="宋体"/>
                <w:bCs/>
                <w:color w:val="auto"/>
                <w:kern w:val="0"/>
                <w:szCs w:val="21"/>
                <w:highlight w:val="none"/>
                <w:lang w:bidi="ar"/>
              </w:rPr>
            </w:pPr>
          </w:p>
        </w:tc>
        <w:tc>
          <w:tcPr>
            <w:tcW w:w="1186" w:type="dxa"/>
            <w:vAlign w:val="center"/>
          </w:tcPr>
          <w:p>
            <w:pPr>
              <w:keepNext w:val="0"/>
              <w:keepLines w:val="0"/>
              <w:widowControl/>
              <w:suppressLineNumbers w:val="0"/>
              <w:spacing w:before="0" w:beforeAutospacing="0" w:after="0" w:afterAutospacing="0" w:line="500" w:lineRule="exact"/>
              <w:ind w:left="0" w:right="0"/>
              <w:jc w:val="center"/>
              <w:textAlignment w:val="center"/>
              <w:rPr>
                <w:rFonts w:hint="default" w:ascii="宋体" w:hAnsi="宋体" w:cs="宋体"/>
                <w:bCs/>
                <w:color w:val="auto"/>
                <w:kern w:val="0"/>
                <w:szCs w:val="21"/>
                <w:highlight w:val="none"/>
                <w:lang w:bidi="ar"/>
              </w:rPr>
            </w:pPr>
            <w:r>
              <w:rPr>
                <w:rFonts w:hint="eastAsia" w:ascii="宋体" w:hAnsi="宋体" w:cs="宋体"/>
                <w:bCs/>
                <w:color w:val="auto"/>
                <w:kern w:val="0"/>
                <w:szCs w:val="21"/>
                <w:highlight w:val="none"/>
                <w:lang w:bidi="ar"/>
              </w:rPr>
              <w:t>2</w:t>
            </w:r>
          </w:p>
        </w:tc>
        <w:tc>
          <w:tcPr>
            <w:tcW w:w="7280" w:type="dxa"/>
            <w:vAlign w:val="center"/>
          </w:tcPr>
          <w:p>
            <w:pPr>
              <w:keepNext w:val="0"/>
              <w:keepLines w:val="0"/>
              <w:widowControl/>
              <w:suppressLineNumbers w:val="0"/>
              <w:spacing w:before="0" w:beforeAutospacing="0" w:after="0" w:afterAutospacing="0" w:line="500" w:lineRule="exact"/>
              <w:ind w:left="0" w:right="0" w:firstLine="420" w:firstLineChars="200"/>
              <w:jc w:val="left"/>
              <w:textAlignment w:val="center"/>
              <w:rPr>
                <w:rFonts w:hint="default" w:ascii="宋体" w:hAnsi="宋体" w:cs="宋体"/>
                <w:bCs/>
                <w:color w:val="auto"/>
                <w:kern w:val="0"/>
                <w:szCs w:val="21"/>
                <w:highlight w:val="none"/>
                <w:lang w:bidi="ar"/>
              </w:rPr>
            </w:pPr>
            <w:r>
              <w:rPr>
                <w:rFonts w:hint="eastAsia" w:ascii="宋体" w:hAnsi="宋体" w:cs="宋体"/>
                <w:bCs/>
                <w:color w:val="auto"/>
                <w:kern w:val="0"/>
                <w:szCs w:val="21"/>
                <w:highlight w:val="none"/>
                <w:lang w:bidi="ar"/>
              </w:rPr>
              <w:t>供应商所提供的产品智能配电系统具有</w:t>
            </w:r>
            <w:r>
              <w:rPr>
                <w:rFonts w:hint="default" w:ascii="宋体" w:hAnsi="宋体" w:cs="宋体"/>
                <w:bCs/>
                <w:color w:val="auto"/>
                <w:kern w:val="0"/>
                <w:szCs w:val="21"/>
                <w:highlight w:val="none"/>
                <w:lang w:bidi="ar"/>
              </w:rPr>
              <w:t>：</w:t>
            </w:r>
            <w:r>
              <w:rPr>
                <w:rFonts w:hint="eastAsia" w:ascii="宋体" w:hAnsi="宋体" w:cs="宋体"/>
                <w:b/>
                <w:color w:val="auto"/>
                <w:kern w:val="0"/>
                <w:szCs w:val="21"/>
                <w:highlight w:val="none"/>
                <w:lang w:bidi="ar"/>
              </w:rPr>
              <w:t>漏电自检功能</w:t>
            </w:r>
            <w:r>
              <w:rPr>
                <w:rFonts w:hint="eastAsia" w:ascii="宋体" w:hAnsi="宋体" w:cs="宋体"/>
                <w:bCs/>
                <w:color w:val="auto"/>
                <w:kern w:val="0"/>
                <w:szCs w:val="21"/>
                <w:highlight w:val="none"/>
                <w:lang w:bidi="ar"/>
              </w:rPr>
              <w:t>。针对带漏电保护开关型号可设置漏电保护功能每月自动检测。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39" w:hRule="atLeast"/>
          <w:tblCellSpacing w:w="0" w:type="dxa"/>
        </w:trPr>
        <w:tc>
          <w:tcPr>
            <w:tcW w:w="1053" w:type="dxa"/>
            <w:vMerge w:val="continue"/>
            <w:vAlign w:val="center"/>
          </w:tcPr>
          <w:p>
            <w:pPr>
              <w:keepNext w:val="0"/>
              <w:keepLines w:val="0"/>
              <w:widowControl/>
              <w:suppressLineNumbers w:val="0"/>
              <w:spacing w:before="0" w:beforeAutospacing="0" w:after="0" w:afterAutospacing="0" w:line="500" w:lineRule="exact"/>
              <w:ind w:left="0" w:right="0"/>
              <w:jc w:val="center"/>
              <w:textAlignment w:val="center"/>
              <w:rPr>
                <w:rFonts w:hint="default" w:ascii="宋体" w:hAnsi="宋体" w:cs="宋体"/>
                <w:bCs/>
                <w:color w:val="auto"/>
                <w:kern w:val="0"/>
                <w:szCs w:val="21"/>
                <w:highlight w:val="none"/>
                <w:lang w:bidi="ar"/>
              </w:rPr>
            </w:pPr>
          </w:p>
        </w:tc>
        <w:tc>
          <w:tcPr>
            <w:tcW w:w="1186" w:type="dxa"/>
            <w:vAlign w:val="center"/>
          </w:tcPr>
          <w:p>
            <w:pPr>
              <w:keepNext w:val="0"/>
              <w:keepLines w:val="0"/>
              <w:widowControl/>
              <w:suppressLineNumbers w:val="0"/>
              <w:spacing w:before="0" w:beforeAutospacing="0" w:after="0" w:afterAutospacing="0" w:line="500" w:lineRule="exact"/>
              <w:ind w:left="0" w:right="0"/>
              <w:jc w:val="center"/>
              <w:textAlignment w:val="center"/>
              <w:rPr>
                <w:rFonts w:hint="default" w:ascii="宋体" w:hAnsi="宋体" w:cs="宋体"/>
                <w:bCs/>
                <w:color w:val="auto"/>
                <w:kern w:val="0"/>
                <w:szCs w:val="21"/>
                <w:highlight w:val="none"/>
                <w:lang w:bidi="ar"/>
              </w:rPr>
            </w:pPr>
            <w:r>
              <w:rPr>
                <w:rFonts w:hint="eastAsia" w:ascii="宋体" w:hAnsi="宋体" w:cs="宋体"/>
                <w:bCs/>
                <w:color w:val="auto"/>
                <w:kern w:val="0"/>
                <w:szCs w:val="21"/>
                <w:highlight w:val="none"/>
                <w:lang w:bidi="ar"/>
              </w:rPr>
              <w:t>2</w:t>
            </w:r>
          </w:p>
        </w:tc>
        <w:tc>
          <w:tcPr>
            <w:tcW w:w="7280" w:type="dxa"/>
            <w:vAlign w:val="center"/>
          </w:tcPr>
          <w:p>
            <w:pPr>
              <w:keepNext w:val="0"/>
              <w:keepLines w:val="0"/>
              <w:widowControl/>
              <w:suppressLineNumbers w:val="0"/>
              <w:spacing w:before="0" w:beforeAutospacing="0" w:after="0" w:afterAutospacing="0" w:line="500" w:lineRule="exact"/>
              <w:ind w:left="0" w:right="0" w:firstLine="420" w:firstLineChars="200"/>
              <w:jc w:val="left"/>
              <w:textAlignment w:val="center"/>
              <w:rPr>
                <w:rFonts w:hint="default" w:ascii="宋体" w:hAnsi="宋体" w:cs="宋体"/>
                <w:bCs/>
                <w:color w:val="auto"/>
                <w:kern w:val="0"/>
                <w:szCs w:val="21"/>
                <w:highlight w:val="none"/>
                <w:lang w:bidi="ar"/>
              </w:rPr>
            </w:pPr>
            <w:r>
              <w:rPr>
                <w:rFonts w:hint="eastAsia" w:ascii="宋体" w:hAnsi="宋体" w:cs="宋体"/>
                <w:bCs/>
                <w:color w:val="auto"/>
                <w:kern w:val="0"/>
                <w:szCs w:val="21"/>
                <w:highlight w:val="none"/>
                <w:lang w:bidi="ar"/>
              </w:rPr>
              <w:t>供应商所提供的产品智能配电系统具有：</w:t>
            </w:r>
            <w:r>
              <w:rPr>
                <w:rFonts w:hint="eastAsia" w:ascii="宋体" w:hAnsi="宋体" w:cs="宋体"/>
                <w:b/>
                <w:color w:val="auto"/>
                <w:kern w:val="0"/>
                <w:szCs w:val="21"/>
                <w:highlight w:val="none"/>
                <w:lang w:bidi="ar"/>
              </w:rPr>
              <w:t>定时控制功能</w:t>
            </w:r>
            <w:r>
              <w:rPr>
                <w:rFonts w:hint="eastAsia" w:ascii="宋体" w:hAnsi="宋体" w:cs="宋体"/>
                <w:bCs/>
                <w:color w:val="auto"/>
                <w:kern w:val="0"/>
                <w:szCs w:val="21"/>
                <w:highlight w:val="none"/>
                <w:lang w:bidi="ar"/>
              </w:rPr>
              <w:t>。联网状态下具备时钟自动同步功能，脱网状态下也需保证时间的精准性。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535" w:hRule="atLeast"/>
          <w:tblCellSpacing w:w="0" w:type="dxa"/>
        </w:trPr>
        <w:tc>
          <w:tcPr>
            <w:tcW w:w="1053" w:type="dxa"/>
            <w:vMerge w:val="continue"/>
            <w:vAlign w:val="center"/>
          </w:tcPr>
          <w:p>
            <w:pPr>
              <w:keepNext w:val="0"/>
              <w:keepLines w:val="0"/>
              <w:widowControl/>
              <w:suppressLineNumbers w:val="0"/>
              <w:spacing w:before="0" w:beforeAutospacing="0" w:after="0" w:afterAutospacing="0" w:line="500" w:lineRule="exact"/>
              <w:ind w:left="0" w:right="0"/>
              <w:jc w:val="center"/>
              <w:textAlignment w:val="center"/>
              <w:rPr>
                <w:rFonts w:hint="default" w:ascii="宋体" w:hAnsi="宋体" w:cs="宋体"/>
                <w:bCs/>
                <w:color w:val="auto"/>
                <w:kern w:val="0"/>
                <w:szCs w:val="21"/>
                <w:highlight w:val="none"/>
                <w:lang w:bidi="ar"/>
              </w:rPr>
            </w:pPr>
          </w:p>
        </w:tc>
        <w:tc>
          <w:tcPr>
            <w:tcW w:w="1186" w:type="dxa"/>
            <w:vAlign w:val="center"/>
          </w:tcPr>
          <w:p>
            <w:pPr>
              <w:keepNext w:val="0"/>
              <w:keepLines w:val="0"/>
              <w:widowControl/>
              <w:suppressLineNumbers w:val="0"/>
              <w:spacing w:before="0" w:beforeAutospacing="0" w:after="0" w:afterAutospacing="0" w:line="500" w:lineRule="exact"/>
              <w:ind w:left="0" w:right="0"/>
              <w:jc w:val="center"/>
              <w:textAlignment w:val="center"/>
              <w:rPr>
                <w:rFonts w:hint="default" w:ascii="宋体" w:hAnsi="宋体" w:cs="宋体"/>
                <w:bCs/>
                <w:color w:val="auto"/>
                <w:kern w:val="0"/>
                <w:szCs w:val="21"/>
                <w:highlight w:val="none"/>
                <w:lang w:bidi="ar"/>
              </w:rPr>
            </w:pPr>
            <w:r>
              <w:rPr>
                <w:rFonts w:hint="eastAsia" w:ascii="宋体" w:hAnsi="宋体" w:cs="宋体"/>
                <w:bCs/>
                <w:color w:val="auto"/>
                <w:kern w:val="0"/>
                <w:szCs w:val="21"/>
                <w:highlight w:val="none"/>
                <w:lang w:bidi="ar"/>
              </w:rPr>
              <w:t>2</w:t>
            </w:r>
          </w:p>
        </w:tc>
        <w:tc>
          <w:tcPr>
            <w:tcW w:w="7280" w:type="dxa"/>
            <w:vAlign w:val="center"/>
          </w:tcPr>
          <w:p>
            <w:pPr>
              <w:keepNext w:val="0"/>
              <w:keepLines w:val="0"/>
              <w:widowControl/>
              <w:suppressLineNumbers w:val="0"/>
              <w:spacing w:before="0" w:beforeAutospacing="0" w:after="0" w:afterAutospacing="0" w:line="500" w:lineRule="exact"/>
              <w:ind w:left="0" w:right="0" w:firstLine="420" w:firstLineChars="200"/>
              <w:jc w:val="left"/>
              <w:textAlignment w:val="center"/>
              <w:rPr>
                <w:rFonts w:hint="default" w:ascii="宋体" w:hAnsi="宋体" w:cs="宋体"/>
                <w:bCs/>
                <w:color w:val="auto"/>
                <w:kern w:val="0"/>
                <w:szCs w:val="21"/>
                <w:highlight w:val="none"/>
                <w:lang w:bidi="ar"/>
              </w:rPr>
            </w:pPr>
            <w:r>
              <w:rPr>
                <w:rFonts w:hint="eastAsia" w:ascii="宋体" w:hAnsi="宋体" w:cs="宋体"/>
                <w:bCs/>
                <w:color w:val="auto"/>
                <w:kern w:val="0"/>
                <w:szCs w:val="21"/>
                <w:highlight w:val="none"/>
                <w:lang w:bidi="ar"/>
              </w:rPr>
              <w:t>供应商所提供的产品智能配电系统具有：</w:t>
            </w:r>
            <w:r>
              <w:rPr>
                <w:rFonts w:hint="eastAsia" w:ascii="宋体" w:hAnsi="宋体" w:cs="宋体"/>
                <w:b/>
                <w:color w:val="auto"/>
                <w:kern w:val="0"/>
                <w:szCs w:val="21"/>
                <w:highlight w:val="none"/>
                <w:lang w:bidi="ar"/>
              </w:rPr>
              <w:t>具备远程锁定功能</w:t>
            </w:r>
            <w:r>
              <w:rPr>
                <w:rFonts w:hint="eastAsia" w:ascii="宋体" w:hAnsi="宋体" w:cs="宋体"/>
                <w:bCs/>
                <w:color w:val="auto"/>
                <w:kern w:val="0"/>
                <w:szCs w:val="21"/>
                <w:highlight w:val="none"/>
                <w:lang w:bidi="ar"/>
              </w:rPr>
              <w:t>。远程锁定后，在不解除锁定的情况下，无论通过远程指令控制，还是推动手柄，均无法对开关合闸。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535" w:hRule="atLeast"/>
          <w:tblCellSpacing w:w="0" w:type="dxa"/>
        </w:trPr>
        <w:tc>
          <w:tcPr>
            <w:tcW w:w="1053" w:type="dxa"/>
            <w:vAlign w:val="center"/>
          </w:tcPr>
          <w:p>
            <w:pPr>
              <w:keepNext w:val="0"/>
              <w:keepLines w:val="0"/>
              <w:widowControl/>
              <w:suppressLineNumbers w:val="0"/>
              <w:spacing w:before="0" w:beforeAutospacing="0" w:after="0" w:afterAutospacing="0" w:line="500" w:lineRule="exact"/>
              <w:ind w:left="0" w:right="0"/>
              <w:jc w:val="center"/>
              <w:textAlignment w:val="center"/>
              <w:rPr>
                <w:rFonts w:hint="default" w:ascii="宋体" w:hAnsi="宋体" w:cs="宋体"/>
                <w:bCs/>
                <w:color w:val="auto"/>
                <w:kern w:val="0"/>
                <w:szCs w:val="21"/>
                <w:highlight w:val="none"/>
                <w:lang w:bidi="ar"/>
              </w:rPr>
            </w:pPr>
          </w:p>
        </w:tc>
        <w:tc>
          <w:tcPr>
            <w:tcW w:w="8466" w:type="dxa"/>
            <w:gridSpan w:val="2"/>
            <w:vAlign w:val="center"/>
          </w:tcPr>
          <w:p>
            <w:pPr>
              <w:keepNext w:val="0"/>
              <w:keepLines w:val="0"/>
              <w:widowControl/>
              <w:suppressLineNumbers w:val="0"/>
              <w:spacing w:before="0" w:beforeAutospacing="0" w:after="0" w:afterAutospacing="0" w:line="500" w:lineRule="exact"/>
              <w:ind w:left="0" w:right="0" w:firstLine="420" w:firstLineChars="200"/>
              <w:jc w:val="left"/>
              <w:textAlignment w:val="center"/>
              <w:rPr>
                <w:rFonts w:hint="default" w:ascii="宋体" w:hAnsi="宋体" w:cs="宋体"/>
                <w:bCs/>
                <w:color w:val="auto"/>
                <w:kern w:val="0"/>
                <w:szCs w:val="21"/>
                <w:highlight w:val="none"/>
                <w:lang w:bidi="ar"/>
              </w:rPr>
            </w:pPr>
            <w:r>
              <w:rPr>
                <w:rFonts w:hint="eastAsia" w:ascii="宋体" w:hAnsi="宋体" w:cs="宋体"/>
                <w:bCs/>
                <w:color w:val="auto"/>
                <w:kern w:val="0"/>
                <w:szCs w:val="21"/>
                <w:highlight w:val="none"/>
                <w:lang w:bidi="ar"/>
              </w:rPr>
              <w:t>注：（1）由供应商自行提供样机（该样机其规格型号应与供应商所投产品一致），并使用样机进行现场演示。若所演示样机其规格型号应与供应商所投产品不一致或不满足要求或未提供，该项不得分。</w:t>
            </w:r>
          </w:p>
          <w:p>
            <w:pPr>
              <w:keepNext w:val="0"/>
              <w:keepLines w:val="0"/>
              <w:widowControl/>
              <w:suppressLineNumbers w:val="0"/>
              <w:spacing w:before="0" w:beforeAutospacing="0" w:after="0" w:afterAutospacing="0" w:line="500" w:lineRule="exact"/>
              <w:ind w:left="0" w:right="0" w:firstLine="420" w:firstLineChars="200"/>
              <w:jc w:val="left"/>
              <w:textAlignment w:val="center"/>
              <w:rPr>
                <w:rFonts w:hint="default"/>
                <w:color w:val="auto"/>
                <w:highlight w:val="none"/>
              </w:rPr>
            </w:pPr>
            <w:r>
              <w:rPr>
                <w:rFonts w:hint="eastAsia" w:ascii="宋体" w:hAnsi="宋体" w:cs="宋体"/>
                <w:bCs/>
                <w:color w:val="auto"/>
                <w:kern w:val="0"/>
                <w:szCs w:val="21"/>
                <w:highlight w:val="none"/>
                <w:lang w:bidi="ar"/>
              </w:rPr>
              <w:t xml:space="preserve"> （2）请各供应商保持通讯畅通，磋商评审当日根据评审进度随时电话通知供应商进行演示，供应商未接听或无法接通，视为放弃演示环节。请参与磋商供应商提前适配软、硬件，演示过程所需辅助设备由供应商自行提供。</w:t>
            </w:r>
          </w:p>
        </w:tc>
      </w:tr>
    </w:tbl>
    <w:p>
      <w:pPr>
        <w:pStyle w:val="12"/>
        <w:widowControl/>
        <w:numPr>
          <w:ilvl w:val="0"/>
          <w:numId w:val="5"/>
        </w:numPr>
        <w:spacing w:line="420" w:lineRule="atLeast"/>
        <w:ind w:firstLine="480"/>
        <w:rPr>
          <w:rStyle w:val="18"/>
          <w:rFonts w:hint="eastAsia" w:ascii="宋体" w:hAnsi="宋体" w:cs="宋体"/>
          <w:color w:val="auto"/>
          <w:sz w:val="21"/>
          <w:szCs w:val="21"/>
          <w:highlight w:val="none"/>
        </w:rPr>
      </w:pPr>
      <w:r>
        <w:rPr>
          <w:rStyle w:val="18"/>
          <w:rFonts w:hint="eastAsia" w:ascii="宋体" w:hAnsi="宋体" w:cs="宋体"/>
          <w:color w:val="auto"/>
          <w:sz w:val="21"/>
          <w:szCs w:val="21"/>
          <w:highlight w:val="none"/>
        </w:rPr>
        <w:t>商务部分评分PC            满分</w:t>
      </w:r>
      <w:r>
        <w:rPr>
          <w:rStyle w:val="18"/>
          <w:rFonts w:hint="eastAsia" w:ascii="宋体" w:hAnsi="宋体" w:cs="宋体"/>
          <w:color w:val="auto"/>
          <w:sz w:val="21"/>
          <w:szCs w:val="21"/>
          <w:highlight w:val="none"/>
          <w:u w:val="single"/>
        </w:rPr>
        <w:t>10</w:t>
      </w:r>
      <w:r>
        <w:rPr>
          <w:rStyle w:val="18"/>
          <w:rFonts w:hint="eastAsia" w:ascii="宋体" w:hAnsi="宋体" w:cs="宋体"/>
          <w:color w:val="auto"/>
          <w:sz w:val="21"/>
          <w:szCs w:val="21"/>
          <w:highlight w:val="none"/>
        </w:rPr>
        <w:t>分</w:t>
      </w:r>
    </w:p>
    <w:tbl>
      <w:tblPr>
        <w:tblStyle w:val="15"/>
        <w:tblW w:w="9498" w:type="dxa"/>
        <w:tblCellSpacing w:w="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335"/>
        <w:gridCol w:w="901"/>
        <w:gridCol w:w="72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Header/>
          <w:tblCellSpacing w:w="0" w:type="dxa"/>
        </w:trPr>
        <w:tc>
          <w:tcPr>
            <w:tcW w:w="1335" w:type="dxa"/>
            <w:vAlign w:val="center"/>
          </w:tcPr>
          <w:p>
            <w:pPr>
              <w:pStyle w:val="12"/>
              <w:keepNext w:val="0"/>
              <w:keepLines w:val="0"/>
              <w:widowControl/>
              <w:suppressLineNumbers w:val="0"/>
              <w:spacing w:beforeAutospacing="0" w:afterAutospacing="0" w:line="500" w:lineRule="exact"/>
              <w:ind w:left="0" w:right="0"/>
              <w:jc w:val="center"/>
              <w:rPr>
                <w:rFonts w:hint="default" w:ascii="宋体" w:hAnsi="宋体" w:cs="宋体"/>
                <w:color w:val="auto"/>
                <w:sz w:val="21"/>
                <w:szCs w:val="21"/>
                <w:highlight w:val="none"/>
              </w:rPr>
            </w:pPr>
            <w:r>
              <w:rPr>
                <w:rFonts w:hint="eastAsia" w:ascii="宋体" w:hAnsi="宋体" w:cs="宋体"/>
                <w:color w:val="auto"/>
                <w:sz w:val="21"/>
                <w:szCs w:val="21"/>
                <w:highlight w:val="none"/>
              </w:rPr>
              <w:t>评标项目</w:t>
            </w:r>
          </w:p>
        </w:tc>
        <w:tc>
          <w:tcPr>
            <w:tcW w:w="901" w:type="dxa"/>
            <w:vAlign w:val="center"/>
          </w:tcPr>
          <w:p>
            <w:pPr>
              <w:pStyle w:val="12"/>
              <w:keepNext w:val="0"/>
              <w:keepLines w:val="0"/>
              <w:widowControl/>
              <w:suppressLineNumbers w:val="0"/>
              <w:spacing w:beforeAutospacing="0" w:afterAutospacing="0" w:line="500" w:lineRule="exact"/>
              <w:ind w:left="0" w:right="0" w:hanging="29"/>
              <w:jc w:val="center"/>
              <w:rPr>
                <w:rFonts w:hint="default" w:ascii="宋体" w:hAnsi="宋体" w:cs="宋体"/>
                <w:color w:val="auto"/>
                <w:sz w:val="21"/>
                <w:szCs w:val="21"/>
                <w:highlight w:val="none"/>
              </w:rPr>
            </w:pPr>
            <w:r>
              <w:rPr>
                <w:rFonts w:hint="eastAsia" w:ascii="宋体" w:hAnsi="宋体" w:cs="宋体"/>
                <w:color w:val="auto"/>
                <w:sz w:val="21"/>
                <w:szCs w:val="21"/>
                <w:highlight w:val="none"/>
              </w:rPr>
              <w:t>评标分值</w:t>
            </w:r>
          </w:p>
        </w:tc>
        <w:tc>
          <w:tcPr>
            <w:tcW w:w="7262" w:type="dxa"/>
            <w:vAlign w:val="center"/>
          </w:tcPr>
          <w:p>
            <w:pPr>
              <w:pStyle w:val="12"/>
              <w:keepNext w:val="0"/>
              <w:keepLines w:val="0"/>
              <w:widowControl/>
              <w:suppressLineNumbers w:val="0"/>
              <w:spacing w:beforeAutospacing="0" w:afterAutospacing="0" w:line="500" w:lineRule="exact"/>
              <w:ind w:left="0" w:right="0" w:firstLine="384"/>
              <w:jc w:val="center"/>
              <w:rPr>
                <w:rFonts w:hint="default" w:ascii="宋体" w:hAnsi="宋体" w:cs="宋体"/>
                <w:color w:val="auto"/>
                <w:sz w:val="21"/>
                <w:szCs w:val="21"/>
                <w:highlight w:val="none"/>
              </w:rPr>
            </w:pPr>
            <w:r>
              <w:rPr>
                <w:rFonts w:hint="eastAsia" w:ascii="宋体" w:hAnsi="宋体" w:cs="宋体"/>
                <w:color w:val="auto"/>
                <w:sz w:val="21"/>
                <w:szCs w:val="21"/>
                <w:highlight w:val="none"/>
              </w:rPr>
              <w:t>评标方法描述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0" w:type="dxa"/>
        </w:trPr>
        <w:tc>
          <w:tcPr>
            <w:tcW w:w="1335" w:type="dxa"/>
            <w:vAlign w:val="center"/>
          </w:tcPr>
          <w:p>
            <w:pPr>
              <w:keepNext w:val="0"/>
              <w:keepLines w:val="0"/>
              <w:suppressLineNumbers w:val="0"/>
              <w:spacing w:before="0" w:beforeAutospacing="0" w:after="0" w:afterAutospacing="0" w:line="500" w:lineRule="exact"/>
              <w:ind w:left="0" w:right="0"/>
              <w:jc w:val="center"/>
              <w:rPr>
                <w:rFonts w:hint="default" w:ascii="宋体" w:hAnsi="宋体" w:cs="宋体"/>
                <w:bCs/>
                <w:color w:val="auto"/>
                <w:szCs w:val="21"/>
                <w:highlight w:val="none"/>
              </w:rPr>
            </w:pPr>
            <w:r>
              <w:rPr>
                <w:rFonts w:hint="default" w:ascii="宋体" w:hAnsi="宋体" w:cs="宋体"/>
                <w:color w:val="auto"/>
                <w:kern w:val="0"/>
                <w:szCs w:val="21"/>
                <w:highlight w:val="none"/>
                <w:lang w:bidi="ar"/>
              </w:rPr>
              <w:t>业绩</w:t>
            </w:r>
          </w:p>
        </w:tc>
        <w:tc>
          <w:tcPr>
            <w:tcW w:w="901" w:type="dxa"/>
            <w:vAlign w:val="center"/>
          </w:tcPr>
          <w:p>
            <w:pPr>
              <w:keepNext w:val="0"/>
              <w:keepLines w:val="0"/>
              <w:suppressLineNumbers w:val="0"/>
              <w:spacing w:before="0" w:beforeAutospacing="0" w:after="0" w:afterAutospacing="0" w:line="500" w:lineRule="exact"/>
              <w:ind w:left="0" w:right="0"/>
              <w:jc w:val="center"/>
              <w:rPr>
                <w:rFonts w:hint="default" w:ascii="宋体" w:hAnsi="宋体" w:cs="宋体"/>
                <w:color w:val="auto"/>
                <w:szCs w:val="21"/>
                <w:highlight w:val="none"/>
              </w:rPr>
            </w:pPr>
            <w:r>
              <w:rPr>
                <w:rFonts w:hint="default" w:ascii="宋体" w:hAnsi="宋体" w:cs="宋体"/>
                <w:color w:val="auto"/>
                <w:kern w:val="0"/>
                <w:szCs w:val="21"/>
                <w:highlight w:val="none"/>
                <w:lang w:bidi="ar"/>
              </w:rPr>
              <w:t>2</w:t>
            </w:r>
          </w:p>
        </w:tc>
        <w:tc>
          <w:tcPr>
            <w:tcW w:w="7262" w:type="dxa"/>
            <w:vAlign w:val="center"/>
          </w:tcPr>
          <w:p>
            <w:pPr>
              <w:keepNext w:val="0"/>
              <w:keepLines w:val="0"/>
              <w:suppressLineNumbers w:val="0"/>
              <w:spacing w:before="0" w:beforeAutospacing="0" w:after="0" w:afterAutospacing="0" w:line="500" w:lineRule="exact"/>
              <w:ind w:left="0" w:right="0" w:firstLine="420" w:firstLineChars="200"/>
              <w:jc w:val="left"/>
              <w:rPr>
                <w:rFonts w:hint="default" w:ascii="宋体" w:hAnsi="宋体" w:cs="宋体"/>
                <w:color w:val="auto"/>
                <w:szCs w:val="21"/>
                <w:highlight w:val="none"/>
                <w:shd w:val="clear" w:color="auto" w:fill="FFFFFF"/>
              </w:rPr>
            </w:pPr>
            <w:r>
              <w:rPr>
                <w:rFonts w:hint="eastAsia" w:ascii="宋体" w:hAnsi="宋体" w:cs="宋体"/>
                <w:color w:val="auto"/>
                <w:kern w:val="0"/>
                <w:szCs w:val="21"/>
                <w:highlight w:val="none"/>
                <w:lang w:bidi="ar"/>
              </w:rPr>
              <w:t>根据供应商提供自2019年1月1日起至本项目响应截止时间止，完成的同类项目（如LED显示屏项目）业绩情况进行评分：供应商每提供一份合格项目业绩得1分，满分2分。须提供该业绩项目的中标（成交）公告（提供相关网站中标（成交）公告的下载网页并注明网址）、中标（成交）通知书复印件、采购合同文本复印件，以及能够证明该业绩项目已经采购人验收合格的相关证明文件复印件（原件备查）。</w:t>
            </w:r>
            <w:r>
              <w:rPr>
                <w:rFonts w:hint="eastAsia" w:ascii="宋体" w:hAnsi="宋体" w:cs="宋体"/>
                <w:color w:val="auto"/>
                <w:szCs w:val="21"/>
                <w:highlight w:val="none"/>
                <w:lang w:bidi="ar"/>
              </w:rPr>
              <w:t>未同时提供以上各项证明材料的，该项业绩不得分。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0" w:type="dxa"/>
        </w:trPr>
        <w:tc>
          <w:tcPr>
            <w:tcW w:w="1335" w:type="dxa"/>
            <w:vAlign w:val="center"/>
          </w:tcPr>
          <w:p>
            <w:pPr>
              <w:keepNext w:val="0"/>
              <w:keepLines w:val="0"/>
              <w:suppressLineNumbers w:val="0"/>
              <w:spacing w:before="0" w:beforeAutospacing="0" w:after="0" w:afterAutospacing="0" w:line="500" w:lineRule="exact"/>
              <w:ind w:left="0" w:right="0"/>
              <w:jc w:val="center"/>
              <w:rPr>
                <w:rFonts w:hint="default" w:ascii="宋体" w:hAnsi="宋体" w:cs="宋体"/>
                <w:color w:val="auto"/>
                <w:szCs w:val="21"/>
                <w:highlight w:val="none"/>
              </w:rPr>
            </w:pPr>
            <w:r>
              <w:rPr>
                <w:rFonts w:hint="eastAsia" w:ascii="宋体" w:hAnsi="宋体" w:cs="宋体"/>
                <w:color w:val="auto"/>
                <w:kern w:val="0"/>
                <w:szCs w:val="21"/>
                <w:highlight w:val="none"/>
                <w:lang w:bidi="ar"/>
              </w:rPr>
              <w:t>服务评价</w:t>
            </w:r>
          </w:p>
        </w:tc>
        <w:tc>
          <w:tcPr>
            <w:tcW w:w="901" w:type="dxa"/>
            <w:vAlign w:val="center"/>
          </w:tcPr>
          <w:p>
            <w:pPr>
              <w:keepNext w:val="0"/>
              <w:keepLines w:val="0"/>
              <w:suppressLineNumbers w:val="0"/>
              <w:spacing w:before="0" w:beforeAutospacing="0" w:after="0" w:afterAutospacing="0" w:line="500" w:lineRule="exact"/>
              <w:ind w:left="0" w:right="0"/>
              <w:jc w:val="center"/>
              <w:rPr>
                <w:rFonts w:hint="default" w:ascii="宋体" w:hAnsi="宋体" w:cs="宋体"/>
                <w:color w:val="auto"/>
                <w:szCs w:val="21"/>
                <w:highlight w:val="none"/>
              </w:rPr>
            </w:pPr>
            <w:r>
              <w:rPr>
                <w:rFonts w:hint="eastAsia" w:ascii="宋体" w:hAnsi="宋体" w:cs="宋体"/>
                <w:color w:val="auto"/>
                <w:szCs w:val="21"/>
                <w:highlight w:val="none"/>
              </w:rPr>
              <w:t>3</w:t>
            </w:r>
          </w:p>
        </w:tc>
        <w:tc>
          <w:tcPr>
            <w:tcW w:w="7262" w:type="dxa"/>
            <w:vAlign w:val="center"/>
          </w:tcPr>
          <w:p>
            <w:pPr>
              <w:keepNext w:val="0"/>
              <w:keepLines w:val="0"/>
              <w:suppressLineNumbers w:val="0"/>
              <w:spacing w:before="0" w:beforeAutospacing="0" w:after="0" w:afterAutospacing="0" w:line="500" w:lineRule="exact"/>
              <w:ind w:left="0" w:right="0" w:firstLine="420" w:firstLineChars="200"/>
              <w:jc w:val="left"/>
              <w:rPr>
                <w:rFonts w:hint="eastAsia" w:ascii="宋体" w:hAnsi="宋体" w:cs="宋体"/>
                <w:color w:val="auto"/>
                <w:kern w:val="0"/>
                <w:szCs w:val="21"/>
                <w:highlight w:val="none"/>
                <w:lang w:bidi="ar"/>
              </w:rPr>
            </w:pPr>
            <w:r>
              <w:rPr>
                <w:rFonts w:hint="eastAsia" w:ascii="宋体" w:hAnsi="宋体" w:cs="宋体"/>
                <w:color w:val="auto"/>
                <w:kern w:val="0"/>
                <w:szCs w:val="21"/>
                <w:highlight w:val="none"/>
                <w:lang w:bidi="ar"/>
              </w:rPr>
              <w:t>根据供应商提供自2019年1月1日起至本项目响应截止时间止，已履行结束的项目获得业主单位满意评价的，每提供一份满意评价的，得1分，满分3分。投标人须提供满意度证明文件复印件并加盖投标人公章（原件备查）。</w:t>
            </w:r>
          </w:p>
          <w:p>
            <w:pPr>
              <w:keepNext w:val="0"/>
              <w:keepLines w:val="0"/>
              <w:suppressLineNumbers w:val="0"/>
              <w:spacing w:before="0" w:beforeAutospacing="0" w:after="0" w:afterAutospacing="0" w:line="500" w:lineRule="exact"/>
              <w:ind w:left="0" w:right="0" w:firstLine="420" w:firstLineChars="200"/>
              <w:jc w:val="left"/>
              <w:rPr>
                <w:rFonts w:hint="default" w:ascii="宋体" w:hAnsi="宋体" w:cs="宋体"/>
                <w:color w:val="auto"/>
                <w:szCs w:val="21"/>
                <w:highlight w:val="none"/>
                <w:shd w:val="clear" w:color="auto" w:fill="FFFFFF"/>
              </w:rPr>
            </w:pPr>
            <w:r>
              <w:rPr>
                <w:rFonts w:hint="eastAsia" w:ascii="宋体" w:hAnsi="宋体" w:cs="宋体"/>
                <w:color w:val="auto"/>
                <w:kern w:val="0"/>
                <w:szCs w:val="21"/>
                <w:highlight w:val="none"/>
                <w:lang w:bidi="ar"/>
              </w:rPr>
              <w:t>注：投标</w:t>
            </w:r>
            <w:r>
              <w:rPr>
                <w:rFonts w:hint="eastAsia" w:ascii="宋体" w:hAnsi="宋体" w:cs="宋体"/>
                <w:color w:val="auto"/>
                <w:kern w:val="0"/>
                <w:szCs w:val="21"/>
                <w:highlight w:val="none"/>
                <w:lang w:val="en-US" w:eastAsia="zh-CN" w:bidi="ar"/>
              </w:rPr>
              <w:t>提供</w:t>
            </w:r>
            <w:r>
              <w:rPr>
                <w:rFonts w:hint="eastAsia" w:ascii="宋体" w:hAnsi="宋体" w:cs="宋体"/>
                <w:color w:val="auto"/>
                <w:kern w:val="0"/>
                <w:szCs w:val="21"/>
                <w:highlight w:val="none"/>
                <w:lang w:bidi="ar"/>
              </w:rPr>
              <w:t>的满意度证明材料（评价材料应体现“优秀”、“满意”</w:t>
            </w:r>
            <w:r>
              <w:rPr>
                <w:rFonts w:hint="eastAsia" w:ascii="宋体" w:hAnsi="宋体" w:cs="宋体"/>
                <w:color w:val="auto"/>
                <w:kern w:val="0"/>
                <w:szCs w:val="21"/>
                <w:highlight w:val="none"/>
                <w:lang w:val="en-US" w:eastAsia="zh-CN" w:bidi="ar"/>
              </w:rPr>
              <w:t>或</w:t>
            </w:r>
            <w:r>
              <w:rPr>
                <w:rFonts w:hint="eastAsia" w:ascii="宋体" w:hAnsi="宋体" w:cs="宋体"/>
                <w:color w:val="auto"/>
                <w:kern w:val="0"/>
                <w:szCs w:val="21"/>
                <w:highlight w:val="none"/>
                <w:lang w:bidi="ar"/>
              </w:rPr>
              <w:t>“好”等类似字眼），未提供或提供不全的不得分。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0" w:type="dxa"/>
        </w:trPr>
        <w:tc>
          <w:tcPr>
            <w:tcW w:w="1335" w:type="dxa"/>
            <w:vAlign w:val="center"/>
          </w:tcPr>
          <w:p>
            <w:pPr>
              <w:keepNext w:val="0"/>
              <w:keepLines w:val="0"/>
              <w:suppressLineNumbers w:val="0"/>
              <w:spacing w:before="0" w:beforeAutospacing="0" w:after="0" w:afterAutospacing="0" w:line="500" w:lineRule="exact"/>
              <w:ind w:left="0" w:right="0"/>
              <w:jc w:val="center"/>
              <w:rPr>
                <w:rFonts w:hint="default" w:ascii="宋体" w:hAnsi="宋体" w:cs="宋体"/>
                <w:color w:val="auto"/>
                <w:kern w:val="0"/>
                <w:szCs w:val="21"/>
                <w:highlight w:val="none"/>
                <w:lang w:bidi="ar"/>
              </w:rPr>
            </w:pPr>
            <w:r>
              <w:rPr>
                <w:rFonts w:hint="default" w:ascii="宋体" w:hAnsi="宋体" w:cs="宋体"/>
                <w:color w:val="auto"/>
                <w:kern w:val="0"/>
                <w:szCs w:val="21"/>
                <w:highlight w:val="none"/>
                <w:lang w:bidi="ar"/>
              </w:rPr>
              <w:t>服务响应时间</w:t>
            </w:r>
          </w:p>
        </w:tc>
        <w:tc>
          <w:tcPr>
            <w:tcW w:w="901" w:type="dxa"/>
            <w:vAlign w:val="center"/>
          </w:tcPr>
          <w:p>
            <w:pPr>
              <w:keepNext w:val="0"/>
              <w:keepLines w:val="0"/>
              <w:suppressLineNumbers w:val="0"/>
              <w:spacing w:before="0" w:beforeAutospacing="0" w:after="0" w:afterAutospacing="0" w:line="500" w:lineRule="exact"/>
              <w:ind w:left="0" w:right="0"/>
              <w:jc w:val="center"/>
              <w:rPr>
                <w:rFonts w:hint="default" w:ascii="宋体" w:hAnsi="宋体" w:cs="宋体"/>
                <w:color w:val="auto"/>
                <w:kern w:val="0"/>
                <w:szCs w:val="21"/>
                <w:highlight w:val="none"/>
                <w:lang w:bidi="ar"/>
              </w:rPr>
            </w:pPr>
            <w:r>
              <w:rPr>
                <w:rFonts w:hint="default" w:ascii="宋体" w:hAnsi="宋体" w:cs="宋体"/>
                <w:color w:val="auto"/>
                <w:kern w:val="0"/>
                <w:szCs w:val="21"/>
                <w:highlight w:val="none"/>
                <w:lang w:bidi="ar"/>
              </w:rPr>
              <w:t>3</w:t>
            </w:r>
          </w:p>
        </w:tc>
        <w:tc>
          <w:tcPr>
            <w:tcW w:w="7262" w:type="dxa"/>
            <w:vAlign w:val="center"/>
          </w:tcPr>
          <w:p>
            <w:pPr>
              <w:keepNext w:val="0"/>
              <w:keepLines w:val="0"/>
              <w:suppressLineNumbers w:val="0"/>
              <w:spacing w:before="0" w:beforeAutospacing="0" w:after="0" w:afterAutospacing="0" w:line="500" w:lineRule="exact"/>
              <w:ind w:left="0" w:right="0" w:firstLine="420" w:firstLineChars="200"/>
              <w:jc w:val="left"/>
              <w:rPr>
                <w:rFonts w:hint="default" w:ascii="宋体" w:hAnsi="宋体" w:eastAsia="宋体" w:cs="宋体"/>
                <w:color w:val="auto"/>
                <w:kern w:val="0"/>
                <w:szCs w:val="21"/>
                <w:highlight w:val="none"/>
                <w:lang w:val="en-US" w:eastAsia="zh-CN" w:bidi="ar"/>
              </w:rPr>
            </w:pPr>
            <w:r>
              <w:rPr>
                <w:rFonts w:hint="eastAsia" w:ascii="宋体" w:hAnsi="宋体" w:cs="宋体"/>
                <w:color w:val="auto"/>
                <w:kern w:val="0"/>
                <w:szCs w:val="21"/>
                <w:highlight w:val="none"/>
                <w:lang w:bidi="ar"/>
              </w:rPr>
              <w:t>根据供应商承诺的服务响应时间，由磋商小组进行评分：收到采购人通知（电话或书面）后2小时内到达项目所在地的得3分；收到采购人通知（电话或书面）后3小时内到达项目所在地的得1分；其余不得分（须提供承诺函，格式自拟，并加盖供应商公章，否则不得分）</w:t>
            </w:r>
            <w:r>
              <w:rPr>
                <w:rFonts w:hint="eastAsia" w:ascii="宋体" w:hAnsi="宋体" w:cs="宋体"/>
                <w:color w:val="auto"/>
                <w:kern w:val="0"/>
                <w:szCs w:val="21"/>
                <w:highlight w:val="none"/>
                <w:lang w:eastAsia="zh-CN" w:bidi="ar"/>
              </w:rPr>
              <w:t>；</w:t>
            </w:r>
            <w:r>
              <w:rPr>
                <w:rFonts w:hint="eastAsia" w:ascii="宋体" w:hAnsi="宋体" w:cs="宋体"/>
                <w:color w:val="auto"/>
                <w:kern w:val="0"/>
                <w:szCs w:val="21"/>
                <w:highlight w:val="none"/>
                <w:lang w:val="en-US" w:eastAsia="zh-CN" w:bidi="ar"/>
              </w:rPr>
              <w:t>满分3分。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0" w:type="dxa"/>
        </w:trPr>
        <w:tc>
          <w:tcPr>
            <w:tcW w:w="1335" w:type="dxa"/>
            <w:vAlign w:val="center"/>
          </w:tcPr>
          <w:p>
            <w:pPr>
              <w:keepNext w:val="0"/>
              <w:keepLines w:val="0"/>
              <w:suppressLineNumbers w:val="0"/>
              <w:spacing w:before="0" w:beforeAutospacing="0" w:after="0" w:afterAutospacing="0" w:line="500" w:lineRule="exact"/>
              <w:ind w:left="0" w:right="0"/>
              <w:jc w:val="center"/>
              <w:rPr>
                <w:rFonts w:hint="default" w:ascii="宋体" w:hAnsi="宋体" w:cs="宋体"/>
                <w:color w:val="auto"/>
                <w:kern w:val="0"/>
                <w:szCs w:val="21"/>
                <w:highlight w:val="none"/>
                <w:lang w:bidi="ar"/>
              </w:rPr>
            </w:pPr>
            <w:r>
              <w:rPr>
                <w:rFonts w:hint="eastAsia" w:ascii="宋体" w:hAnsi="宋体" w:cs="宋体"/>
                <w:color w:val="auto"/>
                <w:kern w:val="0"/>
                <w:szCs w:val="21"/>
                <w:highlight w:val="none"/>
                <w:lang w:bidi="ar"/>
              </w:rPr>
              <w:t>售后服务</w:t>
            </w:r>
          </w:p>
        </w:tc>
        <w:tc>
          <w:tcPr>
            <w:tcW w:w="901" w:type="dxa"/>
            <w:vAlign w:val="center"/>
          </w:tcPr>
          <w:p>
            <w:pPr>
              <w:keepNext w:val="0"/>
              <w:keepLines w:val="0"/>
              <w:suppressLineNumbers w:val="0"/>
              <w:spacing w:before="0" w:beforeAutospacing="0" w:after="0" w:afterAutospacing="0" w:line="500" w:lineRule="exact"/>
              <w:ind w:left="0" w:right="0"/>
              <w:jc w:val="center"/>
              <w:rPr>
                <w:rFonts w:hint="default" w:ascii="宋体" w:hAnsi="宋体" w:cs="宋体"/>
                <w:color w:val="auto"/>
                <w:kern w:val="0"/>
                <w:szCs w:val="21"/>
                <w:highlight w:val="none"/>
                <w:lang w:bidi="ar"/>
              </w:rPr>
            </w:pPr>
            <w:r>
              <w:rPr>
                <w:rFonts w:hint="default" w:ascii="宋体" w:hAnsi="宋体" w:cs="宋体"/>
                <w:color w:val="auto"/>
                <w:kern w:val="0"/>
                <w:szCs w:val="21"/>
                <w:highlight w:val="none"/>
                <w:lang w:bidi="ar"/>
              </w:rPr>
              <w:t>2</w:t>
            </w:r>
          </w:p>
        </w:tc>
        <w:tc>
          <w:tcPr>
            <w:tcW w:w="7262" w:type="dxa"/>
            <w:vAlign w:val="center"/>
          </w:tcPr>
          <w:p>
            <w:pPr>
              <w:keepNext w:val="0"/>
              <w:keepLines w:val="0"/>
              <w:suppressLineNumbers w:val="0"/>
              <w:spacing w:before="0" w:beforeAutospacing="0" w:after="0" w:afterAutospacing="0" w:line="500" w:lineRule="exact"/>
              <w:ind w:left="0" w:right="0" w:firstLine="420" w:firstLineChars="200"/>
              <w:jc w:val="left"/>
              <w:rPr>
                <w:rFonts w:hint="default" w:ascii="宋体" w:hAnsi="宋体" w:cs="宋体"/>
                <w:color w:val="auto"/>
                <w:kern w:val="0"/>
                <w:szCs w:val="21"/>
                <w:highlight w:val="none"/>
                <w:lang w:bidi="ar"/>
              </w:rPr>
            </w:pPr>
            <w:r>
              <w:rPr>
                <w:rFonts w:hint="eastAsia" w:ascii="宋体" w:hAnsi="宋体" w:cs="宋体"/>
                <w:color w:val="auto"/>
                <w:kern w:val="0"/>
                <w:szCs w:val="21"/>
                <w:highlight w:val="none"/>
                <w:lang w:bidi="ar"/>
              </w:rPr>
              <w:t>根据各供应商对所提供服务的质量保证承诺、保修期后的服务项目及费用承诺情况，由磋商小组进行评分：</w:t>
            </w:r>
            <w:r>
              <w:rPr>
                <w:rFonts w:hint="eastAsia" w:ascii="宋体" w:hAnsi="宋体" w:cs="宋体"/>
                <w:color w:val="auto"/>
                <w:kern w:val="0"/>
                <w:szCs w:val="21"/>
                <w:highlight w:val="none"/>
              </w:rPr>
              <w:t>方案完整且措施描述详细的得1分；在此基础上，能针对项目实际情况进行优化并具可实施性的得2分；提供的方案不符合本项目需求的或未提供的不得分；本项满分2分。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0" w:type="dxa"/>
        </w:trPr>
        <w:tc>
          <w:tcPr>
            <w:tcW w:w="9498" w:type="dxa"/>
            <w:gridSpan w:val="3"/>
            <w:vAlign w:val="center"/>
          </w:tcPr>
          <w:p>
            <w:pPr>
              <w:keepNext w:val="0"/>
              <w:keepLines w:val="0"/>
              <w:widowControl/>
              <w:suppressLineNumbers w:val="0"/>
              <w:spacing w:before="0" w:beforeAutospacing="0" w:after="0" w:afterAutospacing="0" w:line="240" w:lineRule="auto"/>
              <w:ind w:left="0" w:right="0" w:firstLine="0" w:firstLineChars="0"/>
              <w:jc w:val="left"/>
              <w:outlineLvl w:val="9"/>
              <w:rPr>
                <w:rFonts w:hint="eastAsia" w:ascii="宋体" w:hAnsi="宋体" w:cs="宋体"/>
                <w:color w:val="auto"/>
                <w:kern w:val="0"/>
                <w:szCs w:val="21"/>
                <w:highlight w:val="none"/>
                <w:lang w:bidi="ar"/>
              </w:rPr>
            </w:pPr>
            <w:r>
              <w:rPr>
                <w:rFonts w:hint="eastAsia" w:ascii="宋体" w:hAnsi="宋体" w:eastAsia="宋体" w:cs="宋体"/>
                <w:color w:val="auto"/>
                <w:szCs w:val="21"/>
                <w:highlight w:val="none"/>
              </w:rPr>
              <w:t>注：（1）上述要求“原件备查”的，供应商若有响应，签署合同时采购人有权要求成交人提供对应的证书或证明材料的原件或公证件进行核对。若供应商无法提供对应材料或提供放入材料与投标响应时提供的材料不一致，按虚假应标处理，其</w:t>
            </w:r>
            <w:r>
              <w:rPr>
                <w:rFonts w:hint="eastAsia" w:ascii="宋体" w:hAnsi="宋体" w:cs="宋体"/>
                <w:color w:val="auto"/>
                <w:szCs w:val="21"/>
                <w:highlight w:val="none"/>
                <w:lang w:val="en-US" w:eastAsia="zh-CN"/>
              </w:rPr>
              <w:t>成交</w:t>
            </w:r>
            <w:r>
              <w:rPr>
                <w:rFonts w:hint="eastAsia" w:ascii="宋体" w:hAnsi="宋体" w:eastAsia="宋体" w:cs="宋体"/>
                <w:color w:val="auto"/>
                <w:szCs w:val="21"/>
                <w:highlight w:val="none"/>
              </w:rPr>
              <w:t>结果无效。因此对采购人造成损失的，供应商还要承担相应的赔偿责任。</w:t>
            </w:r>
          </w:p>
        </w:tc>
      </w:tr>
    </w:tbl>
    <w:p>
      <w:pPr>
        <w:pStyle w:val="12"/>
        <w:widowControl/>
        <w:spacing w:line="420" w:lineRule="atLeast"/>
        <w:ind w:firstLine="480"/>
        <w:rPr>
          <w:rFonts w:ascii="宋体" w:hAnsi="宋体" w:cs="宋体"/>
          <w:color w:val="auto"/>
          <w:sz w:val="21"/>
          <w:szCs w:val="21"/>
          <w:highlight w:val="none"/>
        </w:rPr>
      </w:pPr>
      <w:r>
        <w:rPr>
          <w:rStyle w:val="18"/>
          <w:rFonts w:hint="eastAsia" w:ascii="宋体" w:hAnsi="宋体" w:cs="宋体"/>
          <w:color w:val="auto"/>
          <w:sz w:val="21"/>
          <w:szCs w:val="21"/>
          <w:highlight w:val="none"/>
        </w:rPr>
        <w:t xml:space="preserve">（三）报价部分评分PA            满分 </w:t>
      </w:r>
      <w:r>
        <w:rPr>
          <w:rStyle w:val="18"/>
          <w:rFonts w:hint="eastAsia" w:ascii="宋体" w:hAnsi="宋体" w:cs="宋体"/>
          <w:color w:val="auto"/>
          <w:sz w:val="21"/>
          <w:szCs w:val="21"/>
          <w:highlight w:val="none"/>
          <w:u w:val="single"/>
        </w:rPr>
        <w:t>30</w:t>
      </w:r>
      <w:r>
        <w:rPr>
          <w:rStyle w:val="18"/>
          <w:rFonts w:hint="eastAsia" w:ascii="宋体" w:hAnsi="宋体" w:cs="宋体"/>
          <w:color w:val="auto"/>
          <w:sz w:val="21"/>
          <w:szCs w:val="21"/>
          <w:highlight w:val="none"/>
        </w:rPr>
        <w:t xml:space="preserve"> 分</w:t>
      </w:r>
    </w:p>
    <w:p>
      <w:pPr>
        <w:pStyle w:val="12"/>
        <w:widowControl/>
        <w:spacing w:line="420" w:lineRule="atLeast"/>
        <w:ind w:firstLine="480"/>
        <w:rPr>
          <w:rFonts w:ascii="宋体" w:hAnsi="宋体" w:cs="宋体"/>
          <w:color w:val="auto"/>
          <w:sz w:val="21"/>
          <w:szCs w:val="21"/>
          <w:highlight w:val="none"/>
        </w:rPr>
      </w:pPr>
      <w:r>
        <w:rPr>
          <w:rFonts w:hint="eastAsia" w:ascii="宋体" w:hAnsi="宋体" w:cs="宋体"/>
          <w:color w:val="auto"/>
          <w:sz w:val="21"/>
          <w:szCs w:val="21"/>
          <w:highlight w:val="none"/>
        </w:rPr>
        <w:t>a.价格分采用低价优先法计算，即满足磋商文件要求且最后报价最低的供应商的价格为</w:t>
      </w:r>
      <w:r>
        <w:rPr>
          <w:rFonts w:hint="eastAsia" w:ascii="宋体" w:hAnsi="宋体" w:cs="宋体"/>
          <w:b/>
          <w:bCs/>
          <w:color w:val="auto"/>
          <w:sz w:val="21"/>
          <w:szCs w:val="21"/>
          <w:highlight w:val="none"/>
        </w:rPr>
        <w:t>磋商基准价</w:t>
      </w:r>
      <w:r>
        <w:rPr>
          <w:rFonts w:hint="eastAsia" w:ascii="宋体" w:hAnsi="宋体" w:cs="宋体"/>
          <w:color w:val="auto"/>
          <w:sz w:val="21"/>
          <w:szCs w:val="21"/>
          <w:highlight w:val="none"/>
        </w:rPr>
        <w:t>，其价格分为满分。其他供应商的价格分统一按照下列公式计算：磋商报价得分=（磋商基准价／最后磋商报价）×价格权值×100。因落实政府采购优惠政策需进行价格扣除的，以扣除后的价格计算磋商基准价和最后磋商报价。</w:t>
      </w:r>
    </w:p>
    <w:p>
      <w:pPr>
        <w:pStyle w:val="12"/>
        <w:widowControl/>
        <w:spacing w:line="420" w:lineRule="atLeast"/>
        <w:ind w:firstLine="480"/>
        <w:rPr>
          <w:rFonts w:ascii="宋体" w:hAnsi="宋体" w:cs="宋体"/>
          <w:color w:val="auto"/>
          <w:sz w:val="21"/>
          <w:szCs w:val="21"/>
          <w:highlight w:val="none"/>
        </w:rPr>
      </w:pPr>
      <w:r>
        <w:rPr>
          <w:rStyle w:val="18"/>
          <w:rFonts w:hint="eastAsia" w:ascii="宋体" w:hAnsi="宋体" w:cs="宋体"/>
          <w:color w:val="auto"/>
          <w:sz w:val="21"/>
          <w:szCs w:val="21"/>
          <w:highlight w:val="none"/>
        </w:rPr>
        <w:t>（四）根据采购相关政策可享有的加分优惠评分PP</w:t>
      </w:r>
    </w:p>
    <w:tbl>
      <w:tblPr>
        <w:tblStyle w:val="15"/>
        <w:tblW w:w="9820" w:type="dxa"/>
        <w:tblCellSpacing w:w="0" w:type="dxa"/>
        <w:tblInd w:w="15"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
      <w:tblGrid>
        <w:gridCol w:w="1734"/>
        <w:gridCol w:w="808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654" w:hRule="atLeast"/>
          <w:tblHeader/>
          <w:tblCellSpacing w:w="0" w:type="dxa"/>
        </w:trPr>
        <w:tc>
          <w:tcPr>
            <w:tcW w:w="1730" w:type="dxa"/>
            <w:tcBorders>
              <w:top w:val="outset" w:color="auto" w:sz="6" w:space="0"/>
              <w:left w:val="outset" w:color="auto" w:sz="6" w:space="0"/>
              <w:bottom w:val="outset" w:color="auto" w:sz="6" w:space="0"/>
              <w:right w:val="outset" w:color="auto" w:sz="6" w:space="0"/>
            </w:tcBorders>
            <w:vAlign w:val="center"/>
          </w:tcPr>
          <w:p>
            <w:pPr>
              <w:keepNext w:val="0"/>
              <w:keepLines w:val="0"/>
              <w:widowControl/>
              <w:suppressLineNumbers w:val="0"/>
              <w:spacing w:before="0" w:beforeAutospacing="0" w:after="0" w:afterAutospacing="0"/>
              <w:ind w:left="0" w:right="0"/>
              <w:jc w:val="center"/>
              <w:rPr>
                <w:rFonts w:hint="default" w:ascii="宋体" w:hAnsi="宋体" w:cs="宋体"/>
                <w:b/>
                <w:bCs/>
                <w:color w:val="auto"/>
                <w:szCs w:val="21"/>
                <w:highlight w:val="none"/>
              </w:rPr>
            </w:pPr>
            <w:r>
              <w:rPr>
                <w:rFonts w:hint="eastAsia" w:ascii="宋体" w:hAnsi="宋体" w:cs="宋体"/>
                <w:b/>
                <w:bCs/>
                <w:color w:val="auto"/>
                <w:kern w:val="0"/>
                <w:szCs w:val="21"/>
                <w:highlight w:val="none"/>
                <w:lang w:bidi="ar"/>
              </w:rPr>
              <w:t>评标项目</w:t>
            </w:r>
          </w:p>
        </w:tc>
        <w:tc>
          <w:tcPr>
            <w:tcW w:w="8070" w:type="dxa"/>
            <w:tcBorders>
              <w:top w:val="outset" w:color="auto" w:sz="6" w:space="0"/>
              <w:left w:val="outset" w:color="auto" w:sz="6" w:space="0"/>
              <w:bottom w:val="outset" w:color="auto" w:sz="6" w:space="0"/>
              <w:right w:val="outset" w:color="auto" w:sz="6" w:space="0"/>
            </w:tcBorders>
            <w:vAlign w:val="center"/>
          </w:tcPr>
          <w:p>
            <w:pPr>
              <w:keepNext w:val="0"/>
              <w:keepLines w:val="0"/>
              <w:widowControl/>
              <w:suppressLineNumbers w:val="0"/>
              <w:spacing w:before="0" w:beforeAutospacing="0" w:after="0" w:afterAutospacing="0"/>
              <w:ind w:left="0" w:right="0"/>
              <w:jc w:val="center"/>
              <w:rPr>
                <w:rFonts w:hint="default" w:ascii="宋体" w:hAnsi="宋体" w:cs="宋体"/>
                <w:b/>
                <w:bCs/>
                <w:color w:val="auto"/>
                <w:szCs w:val="21"/>
                <w:highlight w:val="none"/>
              </w:rPr>
            </w:pPr>
            <w:r>
              <w:rPr>
                <w:rFonts w:hint="eastAsia" w:ascii="宋体" w:hAnsi="宋体" w:cs="宋体"/>
                <w:b/>
                <w:bCs/>
                <w:color w:val="auto"/>
                <w:kern w:val="0"/>
                <w:szCs w:val="21"/>
                <w:highlight w:val="none"/>
                <w:lang w:bidi="ar"/>
              </w:rPr>
              <w:t>评标方法描述</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341" w:hRule="atLeast"/>
          <w:tblCellSpacing w:w="0" w:type="dxa"/>
        </w:trPr>
        <w:tc>
          <w:tcPr>
            <w:tcW w:w="1730" w:type="dxa"/>
            <w:tcBorders>
              <w:top w:val="outset" w:color="auto" w:sz="6" w:space="0"/>
              <w:left w:val="outset" w:color="auto" w:sz="6" w:space="0"/>
              <w:bottom w:val="outset" w:color="auto" w:sz="6" w:space="0"/>
              <w:right w:val="outset" w:color="auto" w:sz="6" w:space="0"/>
            </w:tcBorders>
            <w:vAlign w:val="center"/>
          </w:tcPr>
          <w:p>
            <w:pPr>
              <w:keepNext w:val="0"/>
              <w:keepLines w:val="0"/>
              <w:widowControl/>
              <w:suppressLineNumbers w:val="0"/>
              <w:spacing w:before="0" w:beforeAutospacing="0" w:after="0" w:afterAutospacing="0"/>
              <w:ind w:left="0" w:right="0"/>
              <w:jc w:val="left"/>
              <w:rPr>
                <w:rFonts w:hint="default" w:ascii="宋体" w:hAnsi="宋体" w:cs="宋体"/>
                <w:color w:val="auto"/>
                <w:szCs w:val="21"/>
                <w:highlight w:val="none"/>
              </w:rPr>
            </w:pPr>
            <w:r>
              <w:rPr>
                <w:rFonts w:hint="eastAsia" w:ascii="宋体" w:hAnsi="宋体" w:cs="宋体"/>
                <w:color w:val="auto"/>
                <w:kern w:val="0"/>
                <w:szCs w:val="21"/>
                <w:highlight w:val="none"/>
                <w:lang w:bidi="ar"/>
              </w:rPr>
              <w:t>优先类节能产品、环境标志产品</w:t>
            </w:r>
          </w:p>
          <w:p>
            <w:pPr>
              <w:keepNext w:val="0"/>
              <w:keepLines w:val="0"/>
              <w:widowControl/>
              <w:suppressLineNumbers w:val="0"/>
              <w:spacing w:before="0" w:beforeAutospacing="0" w:after="0" w:afterAutospacing="0"/>
              <w:ind w:left="0" w:right="0"/>
              <w:jc w:val="left"/>
              <w:rPr>
                <w:rFonts w:hint="default" w:ascii="宋体" w:hAnsi="宋体" w:cs="宋体"/>
                <w:color w:val="auto"/>
                <w:szCs w:val="21"/>
                <w:highlight w:val="none"/>
              </w:rPr>
            </w:pPr>
          </w:p>
        </w:tc>
        <w:tc>
          <w:tcPr>
            <w:tcW w:w="8070" w:type="dxa"/>
            <w:tcBorders>
              <w:top w:val="outset" w:color="auto" w:sz="6" w:space="0"/>
              <w:left w:val="outset" w:color="auto" w:sz="6" w:space="0"/>
              <w:bottom w:val="outset" w:color="auto" w:sz="6" w:space="0"/>
              <w:right w:val="outset" w:color="auto" w:sz="6" w:space="0"/>
            </w:tcBorders>
            <w:vAlign w:val="center"/>
          </w:tcPr>
          <w:tbl>
            <w:tblPr>
              <w:tblStyle w:val="1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76"/>
              <w:gridCol w:w="1524"/>
              <w:gridCol w:w="44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3" w:hRule="atLeast"/>
                <w:jc w:val="center"/>
              </w:trPr>
              <w:tc>
                <w:tcPr>
                  <w:tcW w:w="1876" w:type="dxa"/>
                  <w:vMerge w:val="restar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60" w:lineRule="exact"/>
                    <w:ind w:left="0" w:right="0"/>
                    <w:jc w:val="center"/>
                    <w:rPr>
                      <w:rFonts w:hint="default" w:ascii="宋体" w:hAnsi="宋体" w:cs="宋体"/>
                      <w:color w:val="auto"/>
                      <w:szCs w:val="21"/>
                      <w:highlight w:val="none"/>
                    </w:rPr>
                  </w:pPr>
                  <w:r>
                    <w:rPr>
                      <w:rFonts w:hint="eastAsia" w:ascii="宋体" w:hAnsi="宋体" w:cs="宋体"/>
                      <w:color w:val="auto"/>
                      <w:szCs w:val="21"/>
                      <w:highlight w:val="none"/>
                      <w:lang w:bidi="ar"/>
                    </w:rPr>
                    <w:t>同一采购包内的节能（非强制类）、减排、环境标志产品各报价总金额占本采购包报价总金额</w:t>
                  </w:r>
                </w:p>
              </w:tc>
              <w:tc>
                <w:tcPr>
                  <w:tcW w:w="1524" w:type="dxa"/>
                  <w:vMerge w:val="restart"/>
                  <w:tcBorders>
                    <w:top w:val="single" w:color="auto" w:sz="4" w:space="0"/>
                    <w:left w:val="nil"/>
                    <w:bottom w:val="single" w:color="auto" w:sz="4" w:space="0"/>
                    <w:right w:val="single" w:color="auto" w:sz="4" w:space="0"/>
                  </w:tcBorders>
                  <w:vAlign w:val="center"/>
                </w:tcPr>
                <w:p>
                  <w:pPr>
                    <w:keepNext w:val="0"/>
                    <w:keepLines w:val="0"/>
                    <w:suppressLineNumbers w:val="0"/>
                    <w:spacing w:before="0" w:beforeAutospacing="0" w:after="0" w:afterAutospacing="0" w:line="360" w:lineRule="exact"/>
                    <w:ind w:left="0" w:right="0"/>
                    <w:jc w:val="center"/>
                    <w:rPr>
                      <w:rFonts w:hint="default" w:ascii="宋体" w:hAnsi="宋体" w:cs="宋体"/>
                      <w:color w:val="auto"/>
                      <w:szCs w:val="21"/>
                      <w:highlight w:val="none"/>
                    </w:rPr>
                  </w:pPr>
                  <w:r>
                    <w:rPr>
                      <w:rFonts w:hint="eastAsia" w:ascii="宋体" w:hAnsi="宋体" w:cs="宋体"/>
                      <w:color w:val="auto"/>
                      <w:szCs w:val="21"/>
                      <w:highlight w:val="none"/>
                      <w:lang w:bidi="ar"/>
                    </w:rPr>
                    <w:t>20%（含20%）以下</w:t>
                  </w:r>
                </w:p>
              </w:tc>
              <w:tc>
                <w:tcPr>
                  <w:tcW w:w="4400" w:type="dxa"/>
                  <w:tcBorders>
                    <w:top w:val="single" w:color="auto" w:sz="4" w:space="0"/>
                    <w:left w:val="nil"/>
                    <w:bottom w:val="single" w:color="auto" w:sz="4" w:space="0"/>
                    <w:right w:val="single" w:color="auto" w:sz="4" w:space="0"/>
                  </w:tcBorders>
                </w:tcPr>
                <w:p>
                  <w:pPr>
                    <w:keepNext w:val="0"/>
                    <w:keepLines w:val="0"/>
                    <w:suppressLineNumbers w:val="0"/>
                    <w:spacing w:before="0" w:beforeAutospacing="0" w:after="0" w:afterAutospacing="0" w:line="360" w:lineRule="exact"/>
                    <w:ind w:left="0" w:right="0"/>
                    <w:rPr>
                      <w:rFonts w:hint="default" w:ascii="宋体" w:hAnsi="宋体" w:cs="宋体"/>
                      <w:color w:val="auto"/>
                      <w:szCs w:val="21"/>
                      <w:highlight w:val="none"/>
                    </w:rPr>
                  </w:pPr>
                  <w:r>
                    <w:rPr>
                      <w:rFonts w:hint="eastAsia" w:ascii="宋体" w:hAnsi="宋体" w:cs="宋体"/>
                      <w:color w:val="auto"/>
                      <w:szCs w:val="21"/>
                      <w:highlight w:val="none"/>
                      <w:lang w:bidi="ar"/>
                    </w:rPr>
                    <w:t>价格评标项：价格评标项标准总分值4%的加分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1876"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宋体" w:hAnsi="宋体" w:cs="宋体"/>
                      <w:color w:val="auto"/>
                      <w:sz w:val="20"/>
                      <w:szCs w:val="20"/>
                      <w:highlight w:val="none"/>
                    </w:rPr>
                  </w:pPr>
                </w:p>
              </w:tc>
              <w:tc>
                <w:tcPr>
                  <w:tcW w:w="1524" w:type="dxa"/>
                  <w:vMerge w:val="continue"/>
                  <w:tcBorders>
                    <w:top w:val="single" w:color="auto" w:sz="4" w:space="0"/>
                    <w:left w:val="nil"/>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宋体" w:hAnsi="宋体" w:cs="宋体"/>
                      <w:color w:val="auto"/>
                      <w:sz w:val="20"/>
                      <w:szCs w:val="20"/>
                      <w:highlight w:val="none"/>
                    </w:rPr>
                  </w:pPr>
                </w:p>
              </w:tc>
              <w:tc>
                <w:tcPr>
                  <w:tcW w:w="4400" w:type="dxa"/>
                  <w:tcBorders>
                    <w:top w:val="single" w:color="auto" w:sz="4" w:space="0"/>
                    <w:left w:val="nil"/>
                    <w:bottom w:val="single" w:color="auto" w:sz="4" w:space="0"/>
                    <w:right w:val="single" w:color="auto" w:sz="4" w:space="0"/>
                  </w:tcBorders>
                </w:tcPr>
                <w:p>
                  <w:pPr>
                    <w:keepNext w:val="0"/>
                    <w:keepLines w:val="0"/>
                    <w:suppressLineNumbers w:val="0"/>
                    <w:spacing w:before="0" w:beforeAutospacing="0" w:after="0" w:afterAutospacing="0" w:line="360" w:lineRule="exact"/>
                    <w:ind w:left="0" w:right="0"/>
                    <w:rPr>
                      <w:rFonts w:hint="default" w:ascii="宋体" w:hAnsi="宋体" w:cs="宋体"/>
                      <w:color w:val="auto"/>
                      <w:szCs w:val="21"/>
                      <w:highlight w:val="none"/>
                    </w:rPr>
                  </w:pPr>
                  <w:r>
                    <w:rPr>
                      <w:rFonts w:hint="eastAsia" w:ascii="宋体" w:hAnsi="宋体" w:cs="宋体"/>
                      <w:color w:val="auto"/>
                      <w:szCs w:val="21"/>
                      <w:highlight w:val="none"/>
                      <w:lang w:bidi="ar"/>
                    </w:rPr>
                    <w:t>技术评标项：技术评标项标准总分值4%的加分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9" w:hRule="atLeast"/>
                <w:jc w:val="center"/>
              </w:trPr>
              <w:tc>
                <w:tcPr>
                  <w:tcW w:w="1876"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宋体" w:hAnsi="宋体" w:cs="宋体"/>
                      <w:color w:val="auto"/>
                      <w:sz w:val="20"/>
                      <w:szCs w:val="20"/>
                      <w:highlight w:val="none"/>
                    </w:rPr>
                  </w:pPr>
                </w:p>
              </w:tc>
              <w:tc>
                <w:tcPr>
                  <w:tcW w:w="1524" w:type="dxa"/>
                  <w:vMerge w:val="restart"/>
                  <w:tcBorders>
                    <w:top w:val="nil"/>
                    <w:left w:val="nil"/>
                    <w:bottom w:val="single" w:color="auto" w:sz="4" w:space="0"/>
                    <w:right w:val="single" w:color="auto" w:sz="4" w:space="0"/>
                  </w:tcBorders>
                  <w:vAlign w:val="center"/>
                </w:tcPr>
                <w:p>
                  <w:pPr>
                    <w:keepNext w:val="0"/>
                    <w:keepLines w:val="0"/>
                    <w:suppressLineNumbers w:val="0"/>
                    <w:spacing w:before="0" w:beforeAutospacing="0" w:after="0" w:afterAutospacing="0" w:line="360" w:lineRule="exact"/>
                    <w:ind w:left="0" w:right="0"/>
                    <w:jc w:val="center"/>
                    <w:rPr>
                      <w:rFonts w:hint="default" w:ascii="宋体" w:hAnsi="宋体" w:cs="宋体"/>
                      <w:color w:val="auto"/>
                      <w:szCs w:val="21"/>
                      <w:highlight w:val="none"/>
                    </w:rPr>
                  </w:pPr>
                  <w:r>
                    <w:rPr>
                      <w:rFonts w:hint="eastAsia" w:ascii="宋体" w:hAnsi="宋体" w:cs="宋体"/>
                      <w:color w:val="auto"/>
                      <w:szCs w:val="21"/>
                      <w:highlight w:val="none"/>
                      <w:lang w:bidi="ar"/>
                    </w:rPr>
                    <w:t>20%-50%（含50%）</w:t>
                  </w:r>
                </w:p>
              </w:tc>
              <w:tc>
                <w:tcPr>
                  <w:tcW w:w="4400" w:type="dxa"/>
                  <w:tcBorders>
                    <w:top w:val="single" w:color="auto" w:sz="4" w:space="0"/>
                    <w:left w:val="nil"/>
                    <w:bottom w:val="single" w:color="auto" w:sz="4" w:space="0"/>
                    <w:right w:val="single" w:color="auto" w:sz="4" w:space="0"/>
                  </w:tcBorders>
                  <w:vAlign w:val="center"/>
                </w:tcPr>
                <w:p>
                  <w:pPr>
                    <w:keepNext w:val="0"/>
                    <w:keepLines w:val="0"/>
                    <w:suppressLineNumbers w:val="0"/>
                    <w:autoSpaceDE w:val="0"/>
                    <w:autoSpaceDN w:val="0"/>
                    <w:adjustRightInd w:val="0"/>
                    <w:spacing w:before="0" w:beforeAutospacing="0" w:after="0" w:afterAutospacing="0" w:line="360" w:lineRule="exact"/>
                    <w:ind w:left="0" w:right="0"/>
                    <w:rPr>
                      <w:rFonts w:hint="default" w:ascii="宋体" w:hAnsi="宋体" w:cs="宋体"/>
                      <w:color w:val="auto"/>
                      <w:szCs w:val="21"/>
                      <w:highlight w:val="none"/>
                    </w:rPr>
                  </w:pPr>
                  <w:r>
                    <w:rPr>
                      <w:rFonts w:hint="eastAsia" w:ascii="宋体" w:hAnsi="宋体" w:cs="宋体"/>
                      <w:color w:val="auto"/>
                      <w:szCs w:val="21"/>
                      <w:highlight w:val="none"/>
                      <w:lang w:bidi="ar"/>
                    </w:rPr>
                    <w:t>价格评标项：价格评标项标准总分值6%的加分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1876"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宋体" w:hAnsi="宋体" w:cs="宋体"/>
                      <w:color w:val="auto"/>
                      <w:sz w:val="20"/>
                      <w:szCs w:val="20"/>
                      <w:highlight w:val="none"/>
                    </w:rPr>
                  </w:pPr>
                </w:p>
              </w:tc>
              <w:tc>
                <w:tcPr>
                  <w:tcW w:w="1524" w:type="dxa"/>
                  <w:vMerge w:val="continue"/>
                  <w:tcBorders>
                    <w:top w:val="nil"/>
                    <w:left w:val="nil"/>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宋体" w:hAnsi="宋体" w:cs="宋体"/>
                      <w:color w:val="auto"/>
                      <w:sz w:val="20"/>
                      <w:szCs w:val="20"/>
                      <w:highlight w:val="none"/>
                    </w:rPr>
                  </w:pPr>
                </w:p>
              </w:tc>
              <w:tc>
                <w:tcPr>
                  <w:tcW w:w="4400" w:type="dxa"/>
                  <w:tcBorders>
                    <w:top w:val="single" w:color="auto" w:sz="4" w:space="0"/>
                    <w:left w:val="nil"/>
                    <w:bottom w:val="single" w:color="auto" w:sz="4" w:space="0"/>
                    <w:right w:val="single" w:color="auto" w:sz="4" w:space="0"/>
                  </w:tcBorders>
                  <w:vAlign w:val="center"/>
                </w:tcPr>
                <w:p>
                  <w:pPr>
                    <w:keepNext w:val="0"/>
                    <w:keepLines w:val="0"/>
                    <w:suppressLineNumbers w:val="0"/>
                    <w:autoSpaceDE w:val="0"/>
                    <w:autoSpaceDN w:val="0"/>
                    <w:adjustRightInd w:val="0"/>
                    <w:spacing w:before="0" w:beforeAutospacing="0" w:after="0" w:afterAutospacing="0" w:line="360" w:lineRule="exact"/>
                    <w:ind w:left="0" w:right="0"/>
                    <w:rPr>
                      <w:rFonts w:hint="default" w:ascii="宋体" w:hAnsi="宋体" w:cs="宋体"/>
                      <w:color w:val="auto"/>
                      <w:szCs w:val="21"/>
                      <w:highlight w:val="none"/>
                    </w:rPr>
                  </w:pPr>
                  <w:r>
                    <w:rPr>
                      <w:rFonts w:hint="eastAsia" w:ascii="宋体" w:hAnsi="宋体" w:cs="宋体"/>
                      <w:color w:val="auto"/>
                      <w:szCs w:val="21"/>
                      <w:highlight w:val="none"/>
                      <w:lang w:bidi="ar"/>
                    </w:rPr>
                    <w:t>技术评标项：技术评标项标准总分值6%的加分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3" w:hRule="atLeast"/>
                <w:jc w:val="center"/>
              </w:trPr>
              <w:tc>
                <w:tcPr>
                  <w:tcW w:w="1876"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宋体" w:hAnsi="宋体" w:cs="宋体"/>
                      <w:color w:val="auto"/>
                      <w:sz w:val="20"/>
                      <w:szCs w:val="20"/>
                      <w:highlight w:val="none"/>
                    </w:rPr>
                  </w:pPr>
                </w:p>
              </w:tc>
              <w:tc>
                <w:tcPr>
                  <w:tcW w:w="1524" w:type="dxa"/>
                  <w:vMerge w:val="restart"/>
                  <w:tcBorders>
                    <w:top w:val="nil"/>
                    <w:left w:val="nil"/>
                    <w:bottom w:val="single" w:color="auto" w:sz="4" w:space="0"/>
                    <w:right w:val="single" w:color="auto" w:sz="4" w:space="0"/>
                  </w:tcBorders>
                  <w:vAlign w:val="center"/>
                </w:tcPr>
                <w:p>
                  <w:pPr>
                    <w:keepNext w:val="0"/>
                    <w:keepLines w:val="0"/>
                    <w:suppressLineNumbers w:val="0"/>
                    <w:spacing w:before="0" w:beforeAutospacing="0" w:after="0" w:afterAutospacing="0" w:line="360" w:lineRule="exact"/>
                    <w:ind w:left="0" w:right="0"/>
                    <w:jc w:val="center"/>
                    <w:rPr>
                      <w:rFonts w:hint="default" w:ascii="宋体" w:hAnsi="宋体" w:cs="宋体"/>
                      <w:color w:val="auto"/>
                      <w:szCs w:val="21"/>
                      <w:highlight w:val="none"/>
                    </w:rPr>
                  </w:pPr>
                  <w:r>
                    <w:rPr>
                      <w:rFonts w:hint="eastAsia" w:ascii="宋体" w:hAnsi="宋体" w:cs="宋体"/>
                      <w:color w:val="auto"/>
                      <w:szCs w:val="21"/>
                      <w:highlight w:val="none"/>
                      <w:lang w:bidi="ar"/>
                    </w:rPr>
                    <w:t>50%以上</w:t>
                  </w:r>
                </w:p>
              </w:tc>
              <w:tc>
                <w:tcPr>
                  <w:tcW w:w="4400" w:type="dxa"/>
                  <w:tcBorders>
                    <w:top w:val="single" w:color="auto" w:sz="4" w:space="0"/>
                    <w:left w:val="nil"/>
                    <w:bottom w:val="single" w:color="auto" w:sz="4" w:space="0"/>
                    <w:right w:val="single" w:color="auto" w:sz="4" w:space="0"/>
                  </w:tcBorders>
                  <w:vAlign w:val="center"/>
                </w:tcPr>
                <w:p>
                  <w:pPr>
                    <w:keepNext w:val="0"/>
                    <w:keepLines w:val="0"/>
                    <w:suppressLineNumbers w:val="0"/>
                    <w:autoSpaceDE w:val="0"/>
                    <w:autoSpaceDN w:val="0"/>
                    <w:adjustRightInd w:val="0"/>
                    <w:spacing w:before="0" w:beforeAutospacing="0" w:after="0" w:afterAutospacing="0" w:line="360" w:lineRule="exact"/>
                    <w:ind w:left="0" w:right="0"/>
                    <w:rPr>
                      <w:rFonts w:hint="default" w:ascii="宋体" w:hAnsi="宋体" w:cs="宋体"/>
                      <w:color w:val="auto"/>
                      <w:szCs w:val="21"/>
                      <w:highlight w:val="none"/>
                    </w:rPr>
                  </w:pPr>
                  <w:r>
                    <w:rPr>
                      <w:rFonts w:hint="eastAsia" w:ascii="宋体" w:hAnsi="宋体" w:cs="宋体"/>
                      <w:color w:val="auto"/>
                      <w:szCs w:val="21"/>
                      <w:highlight w:val="none"/>
                      <w:lang w:bidi="ar"/>
                    </w:rPr>
                    <w:t>价格评标项：价格评标项标准总分值8%的加分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876"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宋体" w:hAnsi="宋体" w:cs="宋体"/>
                      <w:color w:val="auto"/>
                      <w:sz w:val="20"/>
                      <w:szCs w:val="20"/>
                      <w:highlight w:val="none"/>
                    </w:rPr>
                  </w:pPr>
                </w:p>
              </w:tc>
              <w:tc>
                <w:tcPr>
                  <w:tcW w:w="1524" w:type="dxa"/>
                  <w:vMerge w:val="continue"/>
                  <w:tcBorders>
                    <w:top w:val="nil"/>
                    <w:left w:val="nil"/>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宋体" w:hAnsi="宋体" w:cs="宋体"/>
                      <w:color w:val="auto"/>
                      <w:sz w:val="20"/>
                      <w:szCs w:val="20"/>
                      <w:highlight w:val="none"/>
                    </w:rPr>
                  </w:pPr>
                </w:p>
              </w:tc>
              <w:tc>
                <w:tcPr>
                  <w:tcW w:w="4400" w:type="dxa"/>
                  <w:tcBorders>
                    <w:top w:val="single" w:color="auto" w:sz="4" w:space="0"/>
                    <w:left w:val="nil"/>
                    <w:bottom w:val="single" w:color="auto" w:sz="4" w:space="0"/>
                    <w:right w:val="single" w:color="auto" w:sz="4" w:space="0"/>
                  </w:tcBorders>
                  <w:vAlign w:val="center"/>
                </w:tcPr>
                <w:p>
                  <w:pPr>
                    <w:keepNext w:val="0"/>
                    <w:keepLines w:val="0"/>
                    <w:suppressLineNumbers w:val="0"/>
                    <w:autoSpaceDE w:val="0"/>
                    <w:autoSpaceDN w:val="0"/>
                    <w:adjustRightInd w:val="0"/>
                    <w:spacing w:before="0" w:beforeAutospacing="0" w:after="0" w:afterAutospacing="0" w:line="360" w:lineRule="exact"/>
                    <w:ind w:left="0" w:right="0"/>
                    <w:rPr>
                      <w:rFonts w:hint="default" w:ascii="宋体" w:hAnsi="宋体" w:cs="宋体"/>
                      <w:color w:val="auto"/>
                      <w:szCs w:val="21"/>
                      <w:highlight w:val="none"/>
                    </w:rPr>
                  </w:pPr>
                  <w:r>
                    <w:rPr>
                      <w:rFonts w:hint="eastAsia" w:ascii="宋体" w:hAnsi="宋体" w:cs="宋体"/>
                      <w:color w:val="auto"/>
                      <w:szCs w:val="21"/>
                      <w:highlight w:val="none"/>
                      <w:lang w:bidi="ar"/>
                    </w:rPr>
                    <w:t>技术评标项：技术评标项标准总分值8%的加分</w:t>
                  </w:r>
                </w:p>
              </w:tc>
            </w:tr>
          </w:tbl>
          <w:p>
            <w:pPr>
              <w:keepNext w:val="0"/>
              <w:keepLines w:val="0"/>
              <w:widowControl/>
              <w:suppressLineNumbers w:val="0"/>
              <w:spacing w:before="0" w:beforeAutospacing="0" w:after="0" w:afterAutospacing="0"/>
              <w:ind w:left="0" w:right="0"/>
              <w:jc w:val="left"/>
              <w:rPr>
                <w:rFonts w:hint="default" w:ascii="宋体" w:hAnsi="宋体" w:cs="宋体"/>
                <w:color w:val="auto"/>
                <w:kern w:val="0"/>
                <w:szCs w:val="21"/>
                <w:highlight w:val="none"/>
                <w:lang w:bidi="ar"/>
              </w:rPr>
            </w:pPr>
          </w:p>
          <w:p>
            <w:pPr>
              <w:keepNext w:val="0"/>
              <w:keepLines w:val="0"/>
              <w:widowControl/>
              <w:suppressLineNumbers w:val="0"/>
              <w:spacing w:before="0" w:beforeAutospacing="0" w:after="0" w:afterAutospacing="0"/>
              <w:ind w:left="0" w:right="0" w:firstLine="420" w:firstLineChars="200"/>
              <w:jc w:val="left"/>
              <w:rPr>
                <w:rFonts w:hint="default" w:ascii="宋体" w:hAnsi="宋体" w:cs="宋体"/>
                <w:color w:val="auto"/>
                <w:kern w:val="0"/>
                <w:szCs w:val="21"/>
                <w:highlight w:val="none"/>
                <w:lang w:bidi="ar"/>
              </w:rPr>
            </w:pPr>
            <w:r>
              <w:rPr>
                <w:rFonts w:hint="eastAsia" w:ascii="宋体" w:hAnsi="宋体" w:cs="宋体"/>
                <w:color w:val="auto"/>
                <w:kern w:val="0"/>
                <w:szCs w:val="21"/>
                <w:highlight w:val="none"/>
                <w:lang w:bidi="ar"/>
              </w:rPr>
              <w:t>注：供应商在报价时必须对节能（非强制类产品）、环境标志产品单独分项报价，并于响应文件中提供属于节能（非强制类产品）、环境标志产品的证明资料：依据国家确定的认证机构出具的、处于有效期之内的节能产品、环境标志产品认证证书，证明材料须加盖供应商的公章。未单独填写报价或未按规定提供产品的证明资料的不享受鼓励优惠政策。</w:t>
            </w:r>
          </w:p>
          <w:p>
            <w:pPr>
              <w:keepNext w:val="0"/>
              <w:keepLines w:val="0"/>
              <w:widowControl/>
              <w:suppressLineNumbers w:val="0"/>
              <w:spacing w:before="0" w:beforeAutospacing="0" w:after="0" w:afterAutospacing="0"/>
              <w:ind w:left="0" w:right="0" w:firstLine="420" w:firstLineChars="200"/>
              <w:jc w:val="left"/>
              <w:rPr>
                <w:rFonts w:hint="default" w:ascii="宋体" w:hAnsi="宋体" w:cs="宋体"/>
                <w:color w:val="auto"/>
                <w:kern w:val="0"/>
                <w:szCs w:val="21"/>
                <w:highlight w:val="none"/>
                <w:lang w:bidi="ar"/>
              </w:rPr>
            </w:pPr>
            <w:r>
              <w:rPr>
                <w:rFonts w:hint="eastAsia" w:ascii="宋体" w:hAnsi="宋体" w:cs="宋体"/>
                <w:color w:val="auto"/>
                <w:kern w:val="0"/>
                <w:szCs w:val="21"/>
                <w:highlight w:val="none"/>
                <w:lang w:bidi="ar"/>
              </w:rPr>
              <w:t>①节能产品是指财政部、发展改革委最新公布的《节能产品政府采购品目清单》内且获得国家确定的认证机构出具的、处于有效期之内的产品认证证书的产品；环境标志产品是指生态环境部和财政部最新公布的《环境标志产品政府采购品目清单》内且获得国家确定的认证机构出具的、处于有效期之内的产品认证证书的产品；</w:t>
            </w:r>
          </w:p>
          <w:p>
            <w:pPr>
              <w:keepNext w:val="0"/>
              <w:keepLines w:val="0"/>
              <w:widowControl/>
              <w:suppressLineNumbers w:val="0"/>
              <w:spacing w:before="0" w:beforeAutospacing="0" w:after="0" w:afterAutospacing="0"/>
              <w:ind w:left="0" w:right="0" w:firstLine="420" w:firstLineChars="200"/>
              <w:jc w:val="left"/>
              <w:rPr>
                <w:rFonts w:hint="default" w:ascii="宋体" w:hAnsi="宋体" w:cs="宋体"/>
                <w:color w:val="auto"/>
                <w:kern w:val="0"/>
                <w:szCs w:val="21"/>
                <w:highlight w:val="none"/>
                <w:lang w:bidi="ar"/>
              </w:rPr>
            </w:pPr>
            <w:r>
              <w:rPr>
                <w:rFonts w:hint="eastAsia" w:ascii="宋体" w:hAnsi="宋体" w:cs="宋体"/>
                <w:color w:val="auto"/>
                <w:kern w:val="0"/>
                <w:szCs w:val="21"/>
                <w:highlight w:val="none"/>
                <w:lang w:bidi="ar"/>
              </w:rPr>
              <w:t>②同一采购包内的节能、环境标志产品部分加分只对属于清单内的非强制类产品进行加分，强制类产品不给予加分。</w:t>
            </w:r>
          </w:p>
          <w:p>
            <w:pPr>
              <w:keepNext w:val="0"/>
              <w:keepLines w:val="0"/>
              <w:widowControl/>
              <w:suppressLineNumbers w:val="0"/>
              <w:spacing w:before="0" w:beforeAutospacing="0" w:after="0" w:afterAutospacing="0"/>
              <w:ind w:left="0" w:right="0" w:firstLine="420" w:firstLineChars="200"/>
              <w:jc w:val="left"/>
              <w:rPr>
                <w:rFonts w:hint="default" w:ascii="宋体" w:hAnsi="宋体" w:cs="宋体"/>
                <w:color w:val="auto"/>
                <w:szCs w:val="21"/>
                <w:highlight w:val="none"/>
              </w:rPr>
            </w:pPr>
            <w:r>
              <w:rPr>
                <w:rFonts w:hint="eastAsia" w:ascii="宋体" w:hAnsi="宋体" w:cs="宋体"/>
                <w:color w:val="auto"/>
                <w:kern w:val="0"/>
                <w:szCs w:val="21"/>
                <w:highlight w:val="none"/>
                <w:lang w:bidi="ar"/>
              </w:rPr>
              <w:t>③若同一采购包内的节能、环境标志产品仅是构成报价产品的部件、组件或零件的，则不给予加分。获得上述认证的产品在响应时应提供有效证明材料）。同一品目中各认证证书不重复计算加分。属于政府强制采购的节能产品不享受加分。</w:t>
            </w:r>
          </w:p>
        </w:tc>
      </w:tr>
    </w:tbl>
    <w:p>
      <w:pPr>
        <w:pStyle w:val="12"/>
        <w:widowControl/>
        <w:spacing w:line="420" w:lineRule="atLeast"/>
        <w:ind w:firstLine="480"/>
        <w:rPr>
          <w:rFonts w:ascii="宋体" w:hAnsi="宋体" w:cs="宋体"/>
          <w:color w:val="auto"/>
          <w:sz w:val="21"/>
          <w:szCs w:val="21"/>
          <w:highlight w:val="none"/>
        </w:rPr>
      </w:pPr>
      <w:r>
        <w:rPr>
          <w:rStyle w:val="18"/>
          <w:rFonts w:hint="eastAsia" w:ascii="宋体" w:hAnsi="宋体" w:cs="宋体"/>
          <w:color w:val="auto"/>
          <w:sz w:val="21"/>
          <w:szCs w:val="21"/>
          <w:highlight w:val="none"/>
        </w:rPr>
        <w:t>（五）价格扣除部分</w:t>
      </w:r>
    </w:p>
    <w:tbl>
      <w:tblPr>
        <w:tblStyle w:val="15"/>
        <w:tblW w:w="0" w:type="auto"/>
        <w:tblCellSpacing w:w="0" w:type="dxa"/>
        <w:tblInd w:w="15"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
      <w:tblGrid>
        <w:gridCol w:w="1384"/>
        <w:gridCol w:w="843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303" w:hRule="atLeast"/>
          <w:tblHeader/>
          <w:tblCellSpacing w:w="0" w:type="dxa"/>
        </w:trPr>
        <w:tc>
          <w:tcPr>
            <w:tcW w:w="1384" w:type="dxa"/>
            <w:tcBorders>
              <w:top w:val="outset" w:color="auto" w:sz="6" w:space="0"/>
              <w:left w:val="outset" w:color="auto" w:sz="6" w:space="0"/>
              <w:bottom w:val="outset" w:color="auto" w:sz="6" w:space="0"/>
              <w:right w:val="outset" w:color="auto" w:sz="6" w:space="0"/>
            </w:tcBorders>
            <w:vAlign w:val="center"/>
          </w:tcPr>
          <w:p>
            <w:pPr>
              <w:keepNext w:val="0"/>
              <w:keepLines w:val="0"/>
              <w:widowControl/>
              <w:suppressLineNumbers w:val="0"/>
              <w:spacing w:before="0" w:beforeAutospacing="0" w:after="0" w:afterAutospacing="0"/>
              <w:ind w:left="0" w:right="0"/>
              <w:jc w:val="left"/>
              <w:rPr>
                <w:rFonts w:hint="default" w:ascii="宋体" w:hAnsi="宋体" w:cs="宋体"/>
                <w:color w:val="auto"/>
                <w:szCs w:val="21"/>
                <w:highlight w:val="none"/>
              </w:rPr>
            </w:pPr>
            <w:r>
              <w:rPr>
                <w:rFonts w:hint="eastAsia" w:ascii="宋体" w:hAnsi="宋体" w:cs="宋体"/>
                <w:color w:val="auto"/>
                <w:kern w:val="0"/>
                <w:szCs w:val="21"/>
                <w:highlight w:val="none"/>
                <w:lang w:bidi="ar"/>
              </w:rPr>
              <w:t>评标项目</w:t>
            </w:r>
          </w:p>
        </w:tc>
        <w:tc>
          <w:tcPr>
            <w:tcW w:w="8436" w:type="dxa"/>
            <w:tcBorders>
              <w:top w:val="outset" w:color="auto" w:sz="6" w:space="0"/>
              <w:left w:val="outset" w:color="auto" w:sz="6" w:space="0"/>
              <w:bottom w:val="outset" w:color="auto" w:sz="6" w:space="0"/>
              <w:right w:val="outset" w:color="auto" w:sz="6" w:space="0"/>
            </w:tcBorders>
            <w:vAlign w:val="center"/>
          </w:tcPr>
          <w:p>
            <w:pPr>
              <w:keepNext w:val="0"/>
              <w:keepLines w:val="0"/>
              <w:widowControl/>
              <w:suppressLineNumbers w:val="0"/>
              <w:spacing w:before="0" w:beforeAutospacing="0" w:after="0" w:afterAutospacing="0"/>
              <w:ind w:left="0" w:right="0"/>
              <w:jc w:val="left"/>
              <w:rPr>
                <w:rFonts w:hint="default" w:ascii="宋体" w:hAnsi="宋体" w:cs="宋体"/>
                <w:color w:val="auto"/>
                <w:szCs w:val="21"/>
                <w:highlight w:val="none"/>
              </w:rPr>
            </w:pPr>
            <w:r>
              <w:rPr>
                <w:rFonts w:hint="eastAsia" w:ascii="宋体" w:hAnsi="宋体" w:cs="宋体"/>
                <w:color w:val="auto"/>
                <w:kern w:val="0"/>
                <w:szCs w:val="21"/>
                <w:highlight w:val="none"/>
                <w:lang w:bidi="ar"/>
              </w:rPr>
              <w:t>评标方法描述</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459" w:hRule="atLeast"/>
          <w:tblCellSpacing w:w="0" w:type="dxa"/>
        </w:trPr>
        <w:tc>
          <w:tcPr>
            <w:tcW w:w="1384" w:type="dxa"/>
            <w:tcBorders>
              <w:top w:val="outset" w:color="auto" w:sz="6" w:space="0"/>
              <w:left w:val="outset" w:color="auto" w:sz="6" w:space="0"/>
              <w:bottom w:val="outset" w:color="auto" w:sz="6" w:space="0"/>
              <w:right w:val="outset" w:color="auto" w:sz="6" w:space="0"/>
            </w:tcBorders>
            <w:vAlign w:val="center"/>
          </w:tcPr>
          <w:p>
            <w:pPr>
              <w:keepNext w:val="0"/>
              <w:keepLines w:val="0"/>
              <w:widowControl/>
              <w:suppressLineNumbers w:val="0"/>
              <w:spacing w:before="0" w:beforeAutospacing="0" w:after="0" w:afterAutospacing="0"/>
              <w:ind w:left="0" w:right="0"/>
              <w:jc w:val="left"/>
              <w:rPr>
                <w:rFonts w:hint="default" w:ascii="宋体" w:hAnsi="宋体" w:cs="宋体"/>
                <w:color w:val="auto"/>
                <w:szCs w:val="21"/>
                <w:highlight w:val="none"/>
              </w:rPr>
            </w:pPr>
            <w:r>
              <w:rPr>
                <w:rFonts w:hint="eastAsia" w:ascii="宋体" w:hAnsi="宋体" w:cs="宋体"/>
                <w:color w:val="auto"/>
                <w:kern w:val="0"/>
                <w:szCs w:val="21"/>
                <w:highlight w:val="none"/>
                <w:lang w:bidi="ar"/>
              </w:rPr>
              <w:t>小型、微型企业，监狱企业，残疾人福利性单位(若有）</w:t>
            </w:r>
          </w:p>
        </w:tc>
        <w:tc>
          <w:tcPr>
            <w:tcW w:w="8436" w:type="dxa"/>
            <w:tcBorders>
              <w:top w:val="outset" w:color="auto" w:sz="6" w:space="0"/>
              <w:left w:val="outset" w:color="auto" w:sz="6" w:space="0"/>
              <w:bottom w:val="outset" w:color="auto" w:sz="6" w:space="0"/>
              <w:right w:val="outset" w:color="auto" w:sz="6" w:space="0"/>
            </w:tcBorders>
            <w:vAlign w:val="center"/>
          </w:tcPr>
          <w:p>
            <w:pPr>
              <w:keepNext w:val="0"/>
              <w:keepLines w:val="0"/>
              <w:widowControl w:val="0"/>
              <w:suppressLineNumbers w:val="0"/>
              <w:spacing w:before="0" w:beforeAutospacing="0" w:after="0" w:afterAutospacing="0"/>
              <w:ind w:left="0" w:right="0" w:firstLine="0" w:firstLineChars="0"/>
              <w:jc w:val="both"/>
              <w:rPr>
                <w:rFonts w:hint="eastAsia" w:ascii="宋体" w:hAnsi="宋体" w:eastAsia="宋体" w:cs="宋体"/>
                <w:color w:val="auto"/>
                <w:kern w:val="2"/>
                <w:sz w:val="21"/>
                <w:szCs w:val="21"/>
                <w:highlight w:val="none"/>
                <w:shd w:val="clear" w:fill="FFFFFF"/>
              </w:rPr>
            </w:pPr>
            <w:r>
              <w:rPr>
                <w:rFonts w:hint="eastAsia" w:ascii="宋体" w:hAnsi="宋体" w:eastAsia="宋体" w:cs="宋体"/>
                <w:color w:val="auto"/>
                <w:kern w:val="2"/>
                <w:sz w:val="21"/>
                <w:szCs w:val="21"/>
                <w:highlight w:val="none"/>
                <w:shd w:val="clear" w:fill="FFFFFF"/>
                <w:lang w:val="en-US" w:eastAsia="zh-CN" w:bidi="ar"/>
              </w:rPr>
              <w:t>一、中小企业优惠政策：</w:t>
            </w:r>
          </w:p>
          <w:p>
            <w:pPr>
              <w:keepNext w:val="0"/>
              <w:keepLines w:val="0"/>
              <w:widowControl w:val="0"/>
              <w:suppressLineNumbers w:val="0"/>
              <w:spacing w:before="0" w:beforeAutospacing="0" w:after="0" w:afterAutospacing="0"/>
              <w:ind w:left="0" w:right="0" w:firstLine="0" w:firstLineChars="0"/>
              <w:jc w:val="both"/>
              <w:rPr>
                <w:rFonts w:hint="eastAsia" w:ascii="宋体" w:hAnsi="宋体" w:eastAsia="宋体" w:cs="宋体"/>
                <w:color w:val="auto"/>
                <w:kern w:val="2"/>
                <w:sz w:val="21"/>
                <w:szCs w:val="21"/>
                <w:highlight w:val="none"/>
                <w:shd w:val="clear" w:fill="FFFFFF"/>
              </w:rPr>
            </w:pPr>
            <w:r>
              <w:rPr>
                <w:rFonts w:hint="eastAsia" w:ascii="宋体" w:hAnsi="宋体" w:eastAsia="宋体" w:cs="宋体"/>
                <w:color w:val="auto"/>
                <w:kern w:val="2"/>
                <w:sz w:val="21"/>
                <w:szCs w:val="21"/>
                <w:highlight w:val="none"/>
                <w:shd w:val="clear" w:fill="FFFFFF"/>
                <w:lang w:val="en-US" w:eastAsia="zh-CN" w:bidi="ar"/>
              </w:rPr>
              <w:t>（一）根据财政部、工信部印发的《政府采购促进中小企业发展管理办法》（财库【2020】46号）文件精神，中小企业是指在中华人民共和国境内依法设立，符合《工业和信息化部、国家统计局、国家发展和改革委员会、财政部关于印发中小企业划型标准规定的通知》（工信部联企业[2011]300号）规定的划分标准确定的中型企业、小型企业和微型企业，但与大企业的负责人为同一人，或者与大企业存在直接控股、管理关系的除外；</w:t>
            </w:r>
          </w:p>
          <w:p>
            <w:pPr>
              <w:keepNext w:val="0"/>
              <w:keepLines w:val="0"/>
              <w:widowControl w:val="0"/>
              <w:suppressLineNumbers w:val="0"/>
              <w:spacing w:before="0" w:beforeAutospacing="0" w:after="0" w:afterAutospacing="0"/>
              <w:ind w:left="0" w:right="0" w:firstLine="0" w:firstLineChars="0"/>
              <w:jc w:val="both"/>
              <w:rPr>
                <w:rFonts w:hint="eastAsia" w:ascii="宋体" w:hAnsi="宋体" w:eastAsia="宋体" w:cs="宋体"/>
                <w:color w:val="auto"/>
                <w:kern w:val="2"/>
                <w:sz w:val="21"/>
                <w:szCs w:val="21"/>
                <w:highlight w:val="none"/>
                <w:shd w:val="clear" w:fill="FFFFFF"/>
              </w:rPr>
            </w:pPr>
            <w:r>
              <w:rPr>
                <w:rFonts w:hint="eastAsia" w:ascii="宋体" w:hAnsi="宋体" w:eastAsia="宋体" w:cs="宋体"/>
                <w:color w:val="auto"/>
                <w:kern w:val="2"/>
                <w:sz w:val="21"/>
                <w:szCs w:val="21"/>
                <w:highlight w:val="none"/>
                <w:shd w:val="clear" w:fill="FFFFFF"/>
                <w:lang w:val="en-US" w:eastAsia="zh-CN" w:bidi="ar"/>
              </w:rPr>
              <w:t>但与大企业的负责人为同一人，或者与大企业存在直接控股、管理关系的除外。符合中小企业划分标准的个体工商户，在采购活动中视同中小企业。依据该办法规定享受扶持政策获得采购合同的，小微企业不得将合同分包给大中型企业，中型企业不得将合同分包给大型企业。</w:t>
            </w:r>
          </w:p>
          <w:p>
            <w:pPr>
              <w:keepNext w:val="0"/>
              <w:keepLines w:val="0"/>
              <w:widowControl w:val="0"/>
              <w:suppressLineNumbers w:val="0"/>
              <w:spacing w:before="0" w:beforeAutospacing="0" w:after="0" w:afterAutospacing="0"/>
              <w:ind w:left="0" w:right="0" w:firstLine="0" w:firstLineChars="0"/>
              <w:jc w:val="both"/>
              <w:rPr>
                <w:rFonts w:hint="eastAsia" w:ascii="宋体" w:hAnsi="宋体" w:eastAsia="宋体" w:cs="宋体"/>
                <w:color w:val="auto"/>
                <w:kern w:val="2"/>
                <w:sz w:val="21"/>
                <w:szCs w:val="21"/>
                <w:highlight w:val="none"/>
                <w:shd w:val="clear" w:fill="FFFFFF"/>
              </w:rPr>
            </w:pPr>
            <w:r>
              <w:rPr>
                <w:rFonts w:hint="eastAsia" w:ascii="宋体" w:hAnsi="宋体" w:eastAsia="宋体" w:cs="宋体"/>
                <w:color w:val="auto"/>
                <w:kern w:val="2"/>
                <w:sz w:val="21"/>
                <w:szCs w:val="21"/>
                <w:highlight w:val="none"/>
                <w:shd w:val="clear" w:fill="FFFFFF"/>
                <w:lang w:val="en-US" w:eastAsia="zh-CN" w:bidi="ar"/>
              </w:rPr>
              <w:t>（二）供应商提供的货物、工程或者服务符合下列情形的，享受该办法规定的中小企业扶持政策：（1）在货物采购项目中，货物由中小企业制造，即货物由中小企业生产且使用该中小企业商号或者注册商标；（2）在工程采购项目中，工程由中小企业承建，即工程施工单位为中小企业；（3）在服务采购项目中，服务由中小企业承接，即提供服务的人员为中小企业依照《中华人民共和国劳动合同法》订立劳动合同的从业人员。</w:t>
            </w:r>
          </w:p>
          <w:p>
            <w:pPr>
              <w:keepNext w:val="0"/>
              <w:keepLines w:val="0"/>
              <w:widowControl w:val="0"/>
              <w:suppressLineNumbers w:val="0"/>
              <w:spacing w:before="0" w:beforeAutospacing="0" w:after="0" w:afterAutospacing="0"/>
              <w:ind w:left="0" w:right="0" w:firstLine="0" w:firstLineChars="0"/>
              <w:jc w:val="both"/>
              <w:rPr>
                <w:rFonts w:hint="eastAsia" w:ascii="宋体" w:hAnsi="宋体" w:eastAsia="宋体" w:cs="宋体"/>
                <w:color w:val="auto"/>
                <w:kern w:val="2"/>
                <w:sz w:val="21"/>
                <w:szCs w:val="21"/>
                <w:highlight w:val="none"/>
                <w:shd w:val="clear" w:fill="FFFFFF"/>
              </w:rPr>
            </w:pPr>
            <w:r>
              <w:rPr>
                <w:rFonts w:hint="eastAsia" w:ascii="宋体" w:hAnsi="宋体" w:eastAsia="宋体" w:cs="宋体"/>
                <w:color w:val="auto"/>
                <w:kern w:val="2"/>
                <w:sz w:val="21"/>
                <w:szCs w:val="21"/>
                <w:highlight w:val="none"/>
                <w:shd w:val="clear" w:fill="FFFFFF"/>
                <w:lang w:val="en-US" w:eastAsia="zh-CN" w:bidi="ar"/>
              </w:rPr>
              <w:t>（三）评审时，对符合《政府采购促进中小企业发展管理办法》（财库﹝2020﹞46号）及《福建省财政厅关于进一步加大政府采购支持中小企业力度的通知》（闽财规〔2022〕13号）规定的小微企业报价给予价格扣除【（1）货物和服务项目：为15%；对于联合协议或者分包意向协议约定小微企业的合同份额占到合同总金额30%以上的，对联合体或者大中型企业的报价扣除比例为5%；（2）工程类项目：3%；对于联合协议或者分包意向协议约定小微企业的合同份额占到合同总金额30%以上的，对联合体或者大中型企业的报价扣除比例为1%】；组成联合体或者接受分包的小微企业与联合体内其他企业、分包企业之间存在直接控股、管理关系的，不享受价格扣除优惠政策），</w:t>
            </w:r>
            <w:r>
              <w:rPr>
                <w:rFonts w:hint="eastAsia" w:ascii="宋体" w:hAnsi="宋体" w:eastAsia="宋体" w:cs="宋体"/>
                <w:b/>
                <w:bCs w:val="0"/>
                <w:color w:val="auto"/>
                <w:kern w:val="2"/>
                <w:sz w:val="21"/>
                <w:szCs w:val="21"/>
                <w:highlight w:val="none"/>
                <w:shd w:val="clear" w:fill="FFFFFF"/>
                <w:lang w:val="en-US" w:eastAsia="zh-CN" w:bidi="ar"/>
              </w:rPr>
              <w:t>用扣除后的价格参加评审</w:t>
            </w:r>
            <w:r>
              <w:rPr>
                <w:rFonts w:hint="eastAsia" w:ascii="宋体" w:hAnsi="宋体" w:eastAsia="宋体" w:cs="宋体"/>
                <w:color w:val="auto"/>
                <w:kern w:val="2"/>
                <w:sz w:val="21"/>
                <w:szCs w:val="21"/>
                <w:highlight w:val="none"/>
                <w:shd w:val="clear" w:fill="FFFFFF"/>
                <w:lang w:val="en-US" w:eastAsia="zh-CN" w:bidi="ar"/>
              </w:rPr>
              <w:t>。中小企业参加采购活动，应当按照磋商文件明确的采购标的对应行业的划分标准出具中小企业声明函（格式详见竞争性磋商文件第五章），否则不得享受相关中小企业扶持政策。在项目属性为货物类采购项目中，货物应当由中小企业制造，不对其中涉及的服务的承接商作出要求；在项目属性为服务类采购项目中，服务的承接商应当为中小企业，不对其中涉及的货物的制造商作出要求；在项目属性为工程类采购项目中，工程应当由中小企业承建，不对其中涉及的货物的制造商和服务的承接商作出要求。</w:t>
            </w:r>
          </w:p>
          <w:p>
            <w:pPr>
              <w:keepNext w:val="0"/>
              <w:keepLines w:val="0"/>
              <w:widowControl w:val="0"/>
              <w:suppressLineNumbers w:val="0"/>
              <w:spacing w:before="0" w:beforeAutospacing="0" w:after="0" w:afterAutospacing="0"/>
              <w:ind w:left="0" w:right="0" w:firstLine="0" w:firstLineChars="0"/>
              <w:jc w:val="both"/>
              <w:rPr>
                <w:rFonts w:hint="eastAsia" w:ascii="宋体" w:hAnsi="宋体" w:eastAsia="宋体" w:cs="宋体"/>
                <w:color w:val="auto"/>
                <w:kern w:val="2"/>
                <w:sz w:val="21"/>
                <w:szCs w:val="21"/>
                <w:highlight w:val="none"/>
                <w:shd w:val="clear" w:fill="FFFFFF"/>
              </w:rPr>
            </w:pPr>
            <w:r>
              <w:rPr>
                <w:rFonts w:hint="eastAsia" w:ascii="宋体" w:hAnsi="宋体" w:eastAsia="宋体" w:cs="宋体"/>
                <w:color w:val="auto"/>
                <w:kern w:val="2"/>
                <w:sz w:val="21"/>
                <w:szCs w:val="21"/>
                <w:highlight w:val="none"/>
                <w:shd w:val="clear" w:fill="FFFFFF"/>
                <w:lang w:val="en-US" w:eastAsia="zh-CN" w:bidi="ar"/>
              </w:rPr>
              <w:t>（四）中标、成交供应商享受本办法规定的中小企业扶持政策的，采购人、采购代理机构应当随中标、成交结果公开中标、成交供应商的《中小企业声明函》。适用招标投标法的采购工程建设项目，应当在公示成交候选人时公开成交候选人的《中小企业声明函》。</w:t>
            </w:r>
          </w:p>
          <w:p>
            <w:pPr>
              <w:keepNext w:val="0"/>
              <w:keepLines w:val="0"/>
              <w:widowControl w:val="0"/>
              <w:suppressLineNumbers w:val="0"/>
              <w:spacing w:before="0" w:beforeAutospacing="0" w:after="0" w:afterAutospacing="0"/>
              <w:ind w:left="0" w:right="0" w:firstLine="0" w:firstLineChars="0"/>
              <w:jc w:val="both"/>
              <w:rPr>
                <w:rFonts w:hint="eastAsia" w:ascii="宋体" w:hAnsi="宋体" w:eastAsia="宋体" w:cs="宋体"/>
                <w:color w:val="auto"/>
                <w:kern w:val="2"/>
                <w:sz w:val="21"/>
                <w:szCs w:val="21"/>
                <w:highlight w:val="none"/>
                <w:shd w:val="clear" w:fill="FFFFFF"/>
              </w:rPr>
            </w:pPr>
            <w:r>
              <w:rPr>
                <w:rFonts w:hint="eastAsia" w:ascii="宋体" w:hAnsi="宋体" w:eastAsia="宋体" w:cs="宋体"/>
                <w:color w:val="auto"/>
                <w:kern w:val="2"/>
                <w:sz w:val="21"/>
                <w:szCs w:val="21"/>
                <w:highlight w:val="none"/>
                <w:shd w:val="clear" w:fill="FFFFFF"/>
                <w:lang w:val="en-US" w:eastAsia="zh-CN" w:bidi="ar"/>
              </w:rPr>
              <w:t>（五）在货物采购项目中，</w:t>
            </w:r>
            <w:r>
              <w:rPr>
                <w:rFonts w:hint="eastAsia" w:ascii="宋体" w:hAnsi="宋体" w:eastAsia="宋体" w:cs="宋体"/>
                <w:b/>
                <w:bCs w:val="0"/>
                <w:color w:val="auto"/>
                <w:kern w:val="2"/>
                <w:sz w:val="21"/>
                <w:szCs w:val="21"/>
                <w:highlight w:val="none"/>
                <w:shd w:val="clear" w:fill="FFFFFF"/>
                <w:lang w:val="en-US" w:eastAsia="zh-CN" w:bidi="ar"/>
              </w:rPr>
              <w:t>供应商提供的货物既有中小企业制造货物，也有大型企业制造货物的，不享受中小企业扶持政策</w:t>
            </w:r>
            <w:r>
              <w:rPr>
                <w:rFonts w:hint="eastAsia" w:ascii="宋体" w:hAnsi="宋体" w:eastAsia="宋体" w:cs="宋体"/>
                <w:color w:val="auto"/>
                <w:kern w:val="2"/>
                <w:sz w:val="21"/>
                <w:szCs w:val="21"/>
                <w:highlight w:val="none"/>
                <w:shd w:val="clear" w:fill="FFFFFF"/>
                <w:lang w:val="en-US" w:eastAsia="zh-CN" w:bidi="ar"/>
              </w:rPr>
              <w:t>。  以联合体形式参加采购活动，联合体各方均为中小企业的，联合体视同中小企业。其中，联合体各方均为小微企业的，联合体视同小微企业。</w:t>
            </w:r>
          </w:p>
          <w:p>
            <w:pPr>
              <w:keepNext w:val="0"/>
              <w:keepLines w:val="0"/>
              <w:widowControl w:val="0"/>
              <w:suppressLineNumbers w:val="0"/>
              <w:spacing w:before="0" w:beforeAutospacing="0" w:after="0" w:afterAutospacing="0"/>
              <w:ind w:left="0" w:right="0" w:firstLine="0" w:firstLineChars="0"/>
              <w:jc w:val="both"/>
              <w:rPr>
                <w:rFonts w:hint="eastAsia" w:ascii="宋体" w:hAnsi="宋体" w:eastAsia="宋体" w:cs="宋体"/>
                <w:color w:val="auto"/>
                <w:kern w:val="2"/>
                <w:sz w:val="21"/>
                <w:szCs w:val="21"/>
                <w:highlight w:val="none"/>
                <w:shd w:val="clear" w:fill="FFFFFF"/>
              </w:rPr>
            </w:pPr>
            <w:r>
              <w:rPr>
                <w:rFonts w:hint="eastAsia" w:ascii="宋体" w:hAnsi="宋体" w:eastAsia="宋体" w:cs="宋体"/>
                <w:color w:val="auto"/>
                <w:kern w:val="2"/>
                <w:sz w:val="21"/>
                <w:szCs w:val="21"/>
                <w:highlight w:val="none"/>
                <w:shd w:val="clear" w:fill="FFFFFF"/>
                <w:lang w:val="en-US" w:eastAsia="zh-CN" w:bidi="ar"/>
              </w:rPr>
              <w:t>二、监狱企业优惠政策：根据财库【2014】68号文《关于政府采购支持监狱企业发展有关问题的通知》的规定，在采购活动中，监狱企业视同小型、微型企业，享受预留份额、评审中价格扣除等采购促进中小企业发展的采购政策。监狱企业参加采购活动时，应当提供由省级以上监狱管理局、戒毒管理局(含新疆生产建设兵团)出具的属于监狱企业的证明文件，否则不享受中小企业扶持政策。</w:t>
            </w:r>
          </w:p>
          <w:p>
            <w:pPr>
              <w:keepNext w:val="0"/>
              <w:keepLines w:val="0"/>
              <w:widowControl w:val="0"/>
              <w:suppressLineNumbers w:val="0"/>
              <w:spacing w:before="0" w:beforeAutospacing="0" w:after="0" w:afterAutospacing="0"/>
              <w:ind w:left="0" w:right="0" w:firstLine="0" w:firstLineChars="0"/>
              <w:jc w:val="both"/>
              <w:rPr>
                <w:rFonts w:hint="eastAsia" w:ascii="宋体" w:hAnsi="宋体" w:eastAsia="宋体" w:cs="宋体"/>
                <w:color w:val="auto"/>
                <w:kern w:val="2"/>
                <w:sz w:val="21"/>
                <w:szCs w:val="21"/>
                <w:highlight w:val="none"/>
                <w:shd w:val="clear" w:fill="FFFFFF"/>
              </w:rPr>
            </w:pPr>
            <w:r>
              <w:rPr>
                <w:rFonts w:hint="eastAsia" w:ascii="宋体" w:hAnsi="宋体" w:eastAsia="宋体" w:cs="宋体"/>
                <w:color w:val="auto"/>
                <w:kern w:val="2"/>
                <w:sz w:val="21"/>
                <w:szCs w:val="21"/>
                <w:highlight w:val="none"/>
                <w:shd w:val="clear" w:fill="FFFFFF"/>
                <w:lang w:val="en-US" w:eastAsia="zh-CN" w:bidi="ar"/>
              </w:rPr>
              <w:t>三、残疾人福利性单位优惠政策：</w:t>
            </w:r>
          </w:p>
          <w:p>
            <w:pPr>
              <w:keepNext w:val="0"/>
              <w:keepLines w:val="0"/>
              <w:widowControl w:val="0"/>
              <w:suppressLineNumbers w:val="0"/>
              <w:spacing w:before="0" w:beforeAutospacing="0" w:after="0" w:afterAutospacing="0"/>
              <w:ind w:left="0" w:right="0" w:firstLine="0" w:firstLineChars="0"/>
              <w:jc w:val="both"/>
              <w:rPr>
                <w:rFonts w:hint="eastAsia" w:ascii="宋体" w:hAnsi="宋体" w:eastAsia="宋体" w:cs="宋体"/>
                <w:color w:val="auto"/>
                <w:kern w:val="2"/>
                <w:sz w:val="21"/>
                <w:szCs w:val="21"/>
                <w:highlight w:val="none"/>
                <w:shd w:val="clear" w:fill="FFFFFF"/>
              </w:rPr>
            </w:pPr>
            <w:r>
              <w:rPr>
                <w:rFonts w:hint="eastAsia" w:ascii="宋体" w:hAnsi="宋体" w:eastAsia="宋体" w:cs="宋体"/>
                <w:color w:val="auto"/>
                <w:kern w:val="2"/>
                <w:sz w:val="21"/>
                <w:szCs w:val="21"/>
                <w:highlight w:val="none"/>
                <w:shd w:val="clear" w:fill="FFFFFF"/>
                <w:lang w:val="en-US" w:eastAsia="zh-CN" w:bidi="ar"/>
              </w:rPr>
              <w:t>（一）根据财库〔2017〕141号文《关于促进残疾人就业政府采购政策的通知》的规定，在采购活动中，残疾人福利性单位视同小型、微型企业，享受预留份额、评审中价格扣除等促进中小企业发展的采购政策。对于非专门面向中小企业的项目，对残疾人福利性单位产品价格给予10%的扣除；对残疾人福利性单位与其他组织组成联合体参与采购活动的，残疾人福利性单位的协议合同金额占总合同金额30%以上的，给予联合体合同金额3%的价格扣除。</w:t>
            </w:r>
          </w:p>
          <w:p>
            <w:pPr>
              <w:keepNext w:val="0"/>
              <w:keepLines w:val="0"/>
              <w:widowControl w:val="0"/>
              <w:suppressLineNumbers w:val="0"/>
              <w:spacing w:before="0" w:beforeAutospacing="0" w:after="0" w:afterAutospacing="0"/>
              <w:ind w:left="0" w:right="0" w:firstLine="0" w:firstLineChars="0"/>
              <w:jc w:val="both"/>
              <w:rPr>
                <w:rFonts w:hint="eastAsia" w:ascii="宋体" w:hAnsi="宋体" w:eastAsia="宋体" w:cs="宋体"/>
                <w:color w:val="auto"/>
                <w:kern w:val="2"/>
                <w:sz w:val="21"/>
                <w:szCs w:val="21"/>
                <w:highlight w:val="none"/>
                <w:shd w:val="clear" w:fill="FFFFFF"/>
              </w:rPr>
            </w:pPr>
            <w:r>
              <w:rPr>
                <w:rFonts w:hint="eastAsia" w:ascii="宋体" w:hAnsi="宋体" w:eastAsia="宋体" w:cs="宋体"/>
                <w:color w:val="auto"/>
                <w:kern w:val="2"/>
                <w:sz w:val="21"/>
                <w:szCs w:val="21"/>
                <w:highlight w:val="none"/>
                <w:shd w:val="clear" w:fill="FFFFFF"/>
                <w:lang w:val="en-US" w:eastAsia="zh-CN" w:bidi="ar"/>
              </w:rPr>
              <w:t>（二）残疾人福利性单位参加采购活动时，应当提供《残疾人福利性单位声明函》（格式详见竞争性磋商文件第五章）并加单位公章。残疾人福利性单位属于小型、微型企业的，不重复享受优惠政策。中标、成交供应商为残疾人福利性单位的，采购人或者其委托的采购代理机构应当随中标、成交结果同时公告其《残疾人福利性单位声明函》。</w:t>
            </w:r>
          </w:p>
          <w:p>
            <w:pPr>
              <w:keepNext w:val="0"/>
              <w:keepLines w:val="0"/>
              <w:widowControl w:val="0"/>
              <w:suppressLineNumbers w:val="0"/>
              <w:spacing w:before="0" w:beforeAutospacing="0" w:after="0" w:afterAutospacing="0"/>
              <w:ind w:left="0" w:right="0" w:firstLine="0" w:firstLineChars="0"/>
              <w:jc w:val="both"/>
              <w:rPr>
                <w:rFonts w:hint="eastAsia" w:ascii="宋体" w:hAnsi="宋体" w:eastAsia="宋体" w:cs="宋体"/>
                <w:color w:val="auto"/>
                <w:kern w:val="2"/>
                <w:sz w:val="21"/>
                <w:szCs w:val="21"/>
                <w:highlight w:val="none"/>
                <w:shd w:val="clear" w:fill="FFFFFF"/>
              </w:rPr>
            </w:pPr>
            <w:r>
              <w:rPr>
                <w:rFonts w:hint="eastAsia" w:ascii="宋体" w:hAnsi="宋体" w:eastAsia="宋体" w:cs="宋体"/>
                <w:color w:val="auto"/>
                <w:kern w:val="2"/>
                <w:sz w:val="21"/>
                <w:szCs w:val="21"/>
                <w:highlight w:val="none"/>
                <w:shd w:val="clear" w:fill="FFFFFF"/>
                <w:lang w:val="en-US" w:eastAsia="zh-CN" w:bidi="ar"/>
              </w:rPr>
              <w:t>（三）根据财库〔2017〕141号文《关于促进残疾人就业政府采购政策的通知》、福建省财政厅政府采购监督管理办公室《关于残疾人福利性单位参加政府 采购活动价格扣除的通知》的规定，残疾人福利性单位应当依法依规参与采购活动，认真审阅采购文件，诚实响应，对于残疾人福利性单位参与货物项目的，在响应文件中写明具体哪些货物是由本单位制造，或者由其他残疾人福利性单位制造（不包括使用非残疾人福利性单位注册商标的货物），并对其进行标注。仅有标明部分的货物才能启动价格扣除（享受中小企业扶持政策）。</w:t>
            </w:r>
          </w:p>
          <w:p>
            <w:pPr>
              <w:keepNext w:val="0"/>
              <w:keepLines w:val="0"/>
              <w:widowControl w:val="0"/>
              <w:suppressLineNumbers w:val="0"/>
              <w:spacing w:before="0" w:beforeAutospacing="0" w:after="0" w:afterAutospacing="0"/>
              <w:ind w:left="0" w:right="0" w:firstLine="0" w:firstLineChars="0"/>
              <w:jc w:val="both"/>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lang w:val="en-US" w:eastAsia="zh-CN" w:bidi="ar"/>
              </w:rPr>
              <w:t xml:space="preserve"> </w:t>
            </w:r>
          </w:p>
          <w:p>
            <w:pPr>
              <w:keepNext w:val="0"/>
              <w:keepLines w:val="0"/>
              <w:widowControl w:val="0"/>
              <w:suppressLineNumbers w:val="0"/>
              <w:spacing w:before="0" w:beforeAutospacing="0" w:after="0" w:afterAutospacing="0"/>
              <w:ind w:left="0" w:right="0" w:firstLine="0" w:firstLineChars="0"/>
              <w:jc w:val="both"/>
              <w:rPr>
                <w:rFonts w:hint="default" w:ascii="宋体" w:hAnsi="宋体" w:cs="宋体"/>
                <w:color w:val="auto"/>
                <w:szCs w:val="21"/>
                <w:highlight w:val="none"/>
              </w:rPr>
            </w:pPr>
            <w:r>
              <w:rPr>
                <w:rFonts w:hint="eastAsia" w:ascii="宋体" w:hAnsi="宋体" w:eastAsia="宋体" w:cs="宋体"/>
                <w:color w:val="auto"/>
                <w:kern w:val="2"/>
                <w:sz w:val="21"/>
                <w:szCs w:val="21"/>
                <w:highlight w:val="none"/>
                <w:lang w:val="en-US" w:eastAsia="zh-CN" w:bidi="ar"/>
              </w:rPr>
              <w:t>注：上述规定若与相关法律、法规、制度等有冲突，以现行法律、法规、制度等为准。</w:t>
            </w:r>
          </w:p>
        </w:tc>
      </w:tr>
    </w:tbl>
    <w:p>
      <w:pPr>
        <w:pStyle w:val="12"/>
        <w:widowControl/>
        <w:spacing w:before="75" w:beforeAutospacing="0" w:after="75" w:afterAutospacing="0" w:line="405" w:lineRule="atLeast"/>
        <w:ind w:firstLine="480"/>
        <w:rPr>
          <w:rFonts w:ascii="宋体" w:hAnsi="宋体" w:cs="宋体"/>
          <w:color w:val="auto"/>
          <w:sz w:val="21"/>
          <w:szCs w:val="21"/>
          <w:highlight w:val="none"/>
        </w:rPr>
      </w:pPr>
      <w:r>
        <w:rPr>
          <w:rFonts w:hint="eastAsia" w:ascii="宋体" w:hAnsi="宋体" w:cs="宋体"/>
          <w:color w:val="auto"/>
          <w:sz w:val="21"/>
          <w:szCs w:val="21"/>
          <w:highlight w:val="none"/>
        </w:rPr>
        <w:t>（4）成交候选供应商排列规则顺序和并列相同时的处理约定如下：</w:t>
      </w:r>
    </w:p>
    <w:p>
      <w:pPr>
        <w:pStyle w:val="12"/>
        <w:widowControl/>
        <w:spacing w:before="75" w:beforeAutospacing="0" w:after="75" w:afterAutospacing="0" w:line="405" w:lineRule="atLeast"/>
        <w:ind w:firstLine="480"/>
        <w:rPr>
          <w:rFonts w:ascii="宋体" w:hAnsi="宋体" w:cs="宋体"/>
          <w:color w:val="auto"/>
          <w:sz w:val="21"/>
          <w:szCs w:val="21"/>
          <w:highlight w:val="none"/>
        </w:rPr>
      </w:pPr>
      <w:r>
        <w:rPr>
          <w:rFonts w:hint="eastAsia" w:ascii="宋体" w:hAnsi="宋体" w:cs="宋体"/>
          <w:color w:val="auto"/>
          <w:sz w:val="21"/>
          <w:szCs w:val="21"/>
          <w:highlight w:val="none"/>
        </w:rPr>
        <w:t>a.成交候选供应商按照综合评审总得分（FA）由高到低顺序排列推荐。</w:t>
      </w:r>
    </w:p>
    <w:p>
      <w:pPr>
        <w:pStyle w:val="12"/>
        <w:widowControl/>
        <w:spacing w:before="75" w:beforeAutospacing="0" w:after="75" w:afterAutospacing="0" w:line="405" w:lineRule="atLeast"/>
        <w:ind w:firstLine="480"/>
        <w:rPr>
          <w:rFonts w:ascii="宋体" w:hAnsi="宋体" w:cs="宋体"/>
          <w:color w:val="auto"/>
          <w:sz w:val="21"/>
          <w:szCs w:val="21"/>
          <w:highlight w:val="none"/>
        </w:rPr>
      </w:pPr>
      <w:r>
        <w:rPr>
          <w:rFonts w:hint="eastAsia" w:ascii="宋体" w:hAnsi="宋体" w:cs="宋体"/>
          <w:color w:val="auto"/>
          <w:sz w:val="21"/>
          <w:szCs w:val="21"/>
          <w:highlight w:val="none"/>
        </w:rPr>
        <w:t>b.综合评审总得分（FA）相同的，按照经评审最后磋商报价（即经采购优惠政策进行价格扣除后的最后报价）由低到高顺序推荐。</w:t>
      </w:r>
    </w:p>
    <w:p>
      <w:pPr>
        <w:pStyle w:val="12"/>
        <w:widowControl/>
        <w:spacing w:before="0" w:beforeAutospacing="0" w:after="0" w:afterAutospacing="0" w:line="405" w:lineRule="atLeast"/>
        <w:ind w:firstLine="465"/>
        <w:rPr>
          <w:rFonts w:ascii="宋体" w:hAnsi="宋体" w:cs="宋体"/>
          <w:color w:val="auto"/>
          <w:sz w:val="21"/>
          <w:szCs w:val="21"/>
          <w:highlight w:val="none"/>
        </w:rPr>
      </w:pPr>
      <w:r>
        <w:rPr>
          <w:rFonts w:hint="eastAsia" w:ascii="宋体" w:hAnsi="宋体" w:cs="宋体"/>
          <w:color w:val="auto"/>
          <w:sz w:val="21"/>
          <w:szCs w:val="21"/>
          <w:highlight w:val="none"/>
        </w:rPr>
        <w:t>c.综合评审总得分（FA）且经评审最后磋商报价（即经采购优惠政策进行价格扣除后的最后报价）仍然相同的，则按“技术部分”的得分从高到低排序推荐成交候选人。</w:t>
      </w:r>
    </w:p>
    <w:p>
      <w:pPr>
        <w:pStyle w:val="12"/>
        <w:widowControl/>
        <w:spacing w:before="0" w:beforeAutospacing="0" w:after="0" w:afterAutospacing="0" w:line="405" w:lineRule="atLeast"/>
        <w:ind w:firstLine="465"/>
        <w:rPr>
          <w:rFonts w:ascii="宋体" w:hAnsi="宋体" w:cs="宋体"/>
          <w:color w:val="auto"/>
          <w:sz w:val="21"/>
          <w:szCs w:val="21"/>
          <w:highlight w:val="none"/>
        </w:rPr>
      </w:pPr>
      <w:r>
        <w:rPr>
          <w:rFonts w:hint="eastAsia" w:ascii="宋体" w:hAnsi="宋体" w:cs="宋体"/>
          <w:color w:val="auto"/>
          <w:sz w:val="21"/>
          <w:szCs w:val="21"/>
          <w:highlight w:val="none"/>
        </w:rPr>
        <w:t>d.经前述顺序处理仍然并列相同的，或技术指标优劣无法判断的，则评磋商小组在有关监督人员的监督下通过随机抽签的形式，确定他们之间的排名顺序。</w:t>
      </w:r>
    </w:p>
    <w:p>
      <w:pPr>
        <w:pStyle w:val="12"/>
        <w:widowControl/>
        <w:spacing w:before="75" w:beforeAutospacing="0" w:after="75" w:afterAutospacing="0" w:line="420" w:lineRule="atLeast"/>
        <w:rPr>
          <w:rFonts w:ascii="宋体" w:hAnsi="宋体" w:cs="宋体"/>
          <w:color w:val="auto"/>
          <w:sz w:val="21"/>
          <w:szCs w:val="21"/>
          <w:highlight w:val="none"/>
        </w:rPr>
      </w:pPr>
      <w:r>
        <w:rPr>
          <w:rStyle w:val="18"/>
          <w:rFonts w:hint="eastAsia" w:ascii="宋体" w:hAnsi="宋体" w:cs="宋体"/>
          <w:color w:val="auto"/>
          <w:sz w:val="21"/>
          <w:szCs w:val="21"/>
          <w:highlight w:val="none"/>
        </w:rPr>
        <w:t> </w:t>
      </w:r>
    </w:p>
    <w:p>
      <w:pPr>
        <w:pStyle w:val="12"/>
        <w:widowControl/>
        <w:spacing w:before="75" w:beforeAutospacing="0" w:after="75" w:afterAutospacing="0" w:line="420" w:lineRule="atLeast"/>
        <w:jc w:val="center"/>
        <w:rPr>
          <w:rFonts w:ascii="宋体" w:hAnsi="宋体" w:cs="宋体"/>
          <w:color w:val="auto"/>
          <w:sz w:val="21"/>
          <w:szCs w:val="21"/>
          <w:highlight w:val="none"/>
        </w:rPr>
      </w:pPr>
      <w:r>
        <w:rPr>
          <w:rStyle w:val="18"/>
          <w:rFonts w:hint="eastAsia" w:ascii="宋体" w:hAnsi="宋体" w:cs="宋体"/>
          <w:color w:val="auto"/>
          <w:sz w:val="21"/>
          <w:szCs w:val="21"/>
          <w:highlight w:val="none"/>
        </w:rPr>
        <w:t>四、评审报告</w:t>
      </w:r>
    </w:p>
    <w:p>
      <w:pPr>
        <w:pStyle w:val="12"/>
        <w:widowControl/>
        <w:spacing w:before="75" w:beforeAutospacing="0" w:after="75" w:afterAutospacing="0" w:line="420" w:lineRule="atLeast"/>
        <w:rPr>
          <w:rFonts w:ascii="宋体" w:hAnsi="宋体" w:cs="宋体"/>
          <w:color w:val="auto"/>
          <w:sz w:val="21"/>
          <w:szCs w:val="21"/>
          <w:highlight w:val="none"/>
        </w:rPr>
      </w:pPr>
      <w:r>
        <w:rPr>
          <w:rFonts w:hint="eastAsia" w:ascii="宋体" w:hAnsi="宋体" w:cs="宋体"/>
          <w:color w:val="auto"/>
          <w:sz w:val="21"/>
          <w:szCs w:val="21"/>
          <w:highlight w:val="none"/>
        </w:rPr>
        <w:t> </w:t>
      </w:r>
    </w:p>
    <w:p>
      <w:pPr>
        <w:pStyle w:val="12"/>
        <w:widowControl/>
        <w:spacing w:before="75" w:beforeAutospacing="0" w:after="75" w:afterAutospacing="0" w:line="420" w:lineRule="atLeast"/>
        <w:rPr>
          <w:rFonts w:ascii="宋体" w:hAnsi="宋体" w:cs="宋体"/>
          <w:color w:val="auto"/>
          <w:sz w:val="21"/>
          <w:szCs w:val="21"/>
          <w:highlight w:val="none"/>
        </w:rPr>
      </w:pPr>
      <w:r>
        <w:rPr>
          <w:rFonts w:hint="eastAsia" w:ascii="宋体" w:hAnsi="宋体" w:cs="宋体"/>
          <w:color w:val="auto"/>
          <w:sz w:val="21"/>
          <w:szCs w:val="21"/>
          <w:highlight w:val="none"/>
        </w:rPr>
        <w:t> 4.1磋商小组完成评审后，应当编写评审报告并提交给采购人。</w:t>
      </w:r>
    </w:p>
    <w:p>
      <w:pPr>
        <w:pStyle w:val="12"/>
        <w:widowControl/>
        <w:spacing w:before="75" w:beforeAutospacing="0" w:after="75" w:afterAutospacing="0" w:line="420" w:lineRule="atLeast"/>
        <w:rPr>
          <w:rFonts w:ascii="宋体" w:hAnsi="宋体" w:cs="宋体"/>
          <w:color w:val="auto"/>
          <w:sz w:val="21"/>
          <w:szCs w:val="21"/>
          <w:highlight w:val="none"/>
        </w:rPr>
      </w:pPr>
      <w:r>
        <w:rPr>
          <w:rFonts w:hint="eastAsia" w:ascii="宋体" w:hAnsi="宋体" w:cs="宋体"/>
          <w:color w:val="auto"/>
          <w:sz w:val="21"/>
          <w:szCs w:val="21"/>
          <w:highlight w:val="none"/>
        </w:rPr>
        <w:t> 4.2评审报告应当包括以下主要内容：</w:t>
      </w:r>
    </w:p>
    <w:p>
      <w:pPr>
        <w:pStyle w:val="12"/>
        <w:widowControl/>
        <w:spacing w:before="75" w:beforeAutospacing="0" w:after="75" w:afterAutospacing="0" w:line="420" w:lineRule="atLeast"/>
        <w:ind w:firstLine="480"/>
        <w:rPr>
          <w:rFonts w:ascii="宋体" w:hAnsi="宋体" w:cs="宋体"/>
          <w:color w:val="auto"/>
          <w:sz w:val="21"/>
          <w:szCs w:val="21"/>
          <w:highlight w:val="none"/>
        </w:rPr>
      </w:pPr>
      <w:r>
        <w:rPr>
          <w:rFonts w:hint="eastAsia" w:ascii="宋体" w:hAnsi="宋体" w:cs="宋体"/>
          <w:color w:val="auto"/>
          <w:sz w:val="21"/>
          <w:szCs w:val="21"/>
          <w:highlight w:val="none"/>
        </w:rPr>
        <w:t>（一）邀请供应商参加采购活动的具体方式和相关情况；</w:t>
      </w:r>
    </w:p>
    <w:p>
      <w:pPr>
        <w:pStyle w:val="12"/>
        <w:widowControl/>
        <w:spacing w:before="75" w:beforeAutospacing="0" w:after="75" w:afterAutospacing="0" w:line="420" w:lineRule="atLeast"/>
        <w:ind w:firstLine="480"/>
        <w:rPr>
          <w:rFonts w:ascii="宋体" w:hAnsi="宋体" w:cs="宋体"/>
          <w:color w:val="auto"/>
          <w:sz w:val="21"/>
          <w:szCs w:val="21"/>
          <w:highlight w:val="none"/>
        </w:rPr>
      </w:pPr>
      <w:r>
        <w:rPr>
          <w:rFonts w:hint="eastAsia" w:ascii="宋体" w:hAnsi="宋体" w:cs="宋体"/>
          <w:color w:val="auto"/>
          <w:sz w:val="21"/>
          <w:szCs w:val="21"/>
          <w:highlight w:val="none"/>
        </w:rPr>
        <w:t>（二）响应文件开启日期和地点；</w:t>
      </w:r>
    </w:p>
    <w:p>
      <w:pPr>
        <w:pStyle w:val="12"/>
        <w:widowControl/>
        <w:spacing w:before="75" w:beforeAutospacing="0" w:after="75" w:afterAutospacing="0" w:line="420" w:lineRule="atLeast"/>
        <w:ind w:firstLine="480"/>
        <w:rPr>
          <w:rFonts w:ascii="宋体" w:hAnsi="宋体" w:cs="宋体"/>
          <w:color w:val="auto"/>
          <w:sz w:val="21"/>
          <w:szCs w:val="21"/>
          <w:highlight w:val="none"/>
        </w:rPr>
      </w:pPr>
      <w:r>
        <w:rPr>
          <w:rFonts w:hint="eastAsia" w:ascii="宋体" w:hAnsi="宋体" w:cs="宋体"/>
          <w:color w:val="auto"/>
          <w:sz w:val="21"/>
          <w:szCs w:val="21"/>
          <w:highlight w:val="none"/>
        </w:rPr>
        <w:t>（三）获取磋商文件的供应商名单和磋商小组成员名单；</w:t>
      </w:r>
    </w:p>
    <w:p>
      <w:pPr>
        <w:pStyle w:val="12"/>
        <w:widowControl/>
        <w:spacing w:before="75" w:beforeAutospacing="0" w:after="75" w:afterAutospacing="0" w:line="420" w:lineRule="atLeast"/>
        <w:ind w:firstLine="480"/>
        <w:rPr>
          <w:rFonts w:ascii="宋体" w:hAnsi="宋体" w:cs="宋体"/>
          <w:color w:val="auto"/>
          <w:sz w:val="21"/>
          <w:szCs w:val="21"/>
          <w:highlight w:val="none"/>
        </w:rPr>
      </w:pPr>
      <w:r>
        <w:rPr>
          <w:rFonts w:hint="eastAsia" w:ascii="宋体" w:hAnsi="宋体" w:cs="宋体"/>
          <w:color w:val="auto"/>
          <w:sz w:val="21"/>
          <w:szCs w:val="21"/>
          <w:highlight w:val="none"/>
        </w:rPr>
        <w:t>（四）评审情况记录和说明，包括对供应商的资格审查情况、供应商响应文件评审情况、磋商情况、报价情况等；</w:t>
      </w:r>
    </w:p>
    <w:p>
      <w:pPr>
        <w:pStyle w:val="12"/>
        <w:widowControl/>
        <w:spacing w:before="75" w:beforeAutospacing="0" w:after="75" w:afterAutospacing="0" w:line="420" w:lineRule="atLeast"/>
        <w:ind w:firstLine="480"/>
        <w:rPr>
          <w:rFonts w:ascii="宋体" w:hAnsi="宋体" w:cs="宋体"/>
          <w:color w:val="auto"/>
          <w:sz w:val="21"/>
          <w:szCs w:val="21"/>
          <w:highlight w:val="none"/>
        </w:rPr>
      </w:pPr>
      <w:r>
        <w:rPr>
          <w:rFonts w:hint="eastAsia" w:ascii="宋体" w:hAnsi="宋体" w:cs="宋体"/>
          <w:color w:val="auto"/>
          <w:sz w:val="21"/>
          <w:szCs w:val="21"/>
          <w:highlight w:val="none"/>
        </w:rPr>
        <w:t>（五）提出的成交候选供应商的排序名单及理由。</w:t>
      </w:r>
    </w:p>
    <w:p>
      <w:pPr>
        <w:pStyle w:val="12"/>
        <w:widowControl/>
        <w:spacing w:before="75" w:beforeAutospacing="0" w:after="75" w:afterAutospacing="0" w:line="420" w:lineRule="atLeast"/>
        <w:rPr>
          <w:rFonts w:ascii="宋体" w:hAnsi="宋体" w:cs="宋体"/>
          <w:color w:val="auto"/>
          <w:sz w:val="21"/>
          <w:szCs w:val="21"/>
          <w:highlight w:val="none"/>
        </w:rPr>
      </w:pPr>
      <w:r>
        <w:rPr>
          <w:rFonts w:hint="eastAsia" w:ascii="宋体" w:hAnsi="宋体" w:cs="宋体"/>
          <w:color w:val="auto"/>
          <w:sz w:val="21"/>
          <w:szCs w:val="21"/>
          <w:highlight w:val="none"/>
        </w:rPr>
        <w:t> 4.3评审报告应当由磋商小组全体人员签字认可。磋商小组成员对评审报告有异议的，磋商小组按照少数服从多数的原则推荐成交候选供应商，采购程序继续进行。对评审报告有异议的磋商小组成员，应当在报告上签署不同意见并说明理由，由磋商小组书面记录相关情况。磋商小组成员拒绝在报告上签字又不书面说明其不同意见和理由的，视为同意评审报告。</w:t>
      </w:r>
    </w:p>
    <w:p>
      <w:pPr>
        <w:pStyle w:val="12"/>
        <w:widowControl/>
        <w:spacing w:before="75" w:beforeAutospacing="0" w:after="75" w:afterAutospacing="0" w:line="420" w:lineRule="atLeast"/>
        <w:ind w:firstLine="480"/>
        <w:rPr>
          <w:rFonts w:ascii="宋体" w:hAnsi="宋体" w:cs="宋体"/>
          <w:color w:val="auto"/>
          <w:sz w:val="21"/>
          <w:szCs w:val="21"/>
          <w:highlight w:val="none"/>
        </w:rPr>
      </w:pPr>
      <w:r>
        <w:rPr>
          <w:rFonts w:hint="eastAsia" w:ascii="宋体" w:hAnsi="宋体" w:cs="宋体"/>
          <w:color w:val="auto"/>
          <w:sz w:val="21"/>
          <w:szCs w:val="21"/>
          <w:highlight w:val="none"/>
        </w:rPr>
        <w:t> </w:t>
      </w:r>
    </w:p>
    <w:p>
      <w:pPr>
        <w:pStyle w:val="12"/>
        <w:widowControl/>
        <w:spacing w:before="75" w:beforeAutospacing="0" w:after="75" w:afterAutospacing="0" w:line="420" w:lineRule="atLeast"/>
        <w:jc w:val="center"/>
        <w:rPr>
          <w:rFonts w:ascii="宋体" w:hAnsi="宋体" w:cs="宋体"/>
          <w:color w:val="auto"/>
          <w:sz w:val="21"/>
          <w:szCs w:val="21"/>
          <w:highlight w:val="none"/>
        </w:rPr>
      </w:pPr>
      <w:r>
        <w:rPr>
          <w:rStyle w:val="18"/>
          <w:rFonts w:hint="eastAsia" w:ascii="宋体" w:hAnsi="宋体" w:cs="宋体"/>
          <w:color w:val="auto"/>
          <w:sz w:val="21"/>
          <w:szCs w:val="21"/>
          <w:highlight w:val="none"/>
        </w:rPr>
        <w:t>五、其他规定</w:t>
      </w:r>
    </w:p>
    <w:p>
      <w:pPr>
        <w:pStyle w:val="12"/>
        <w:widowControl/>
        <w:spacing w:before="75" w:beforeAutospacing="0" w:after="75" w:afterAutospacing="0" w:line="420" w:lineRule="atLeast"/>
        <w:rPr>
          <w:rFonts w:ascii="宋体" w:hAnsi="宋体" w:cs="宋体"/>
          <w:color w:val="auto"/>
          <w:sz w:val="21"/>
          <w:szCs w:val="21"/>
          <w:highlight w:val="none"/>
        </w:rPr>
      </w:pPr>
      <w:r>
        <w:rPr>
          <w:rFonts w:hint="eastAsia" w:ascii="宋体" w:hAnsi="宋体" w:cs="宋体"/>
          <w:color w:val="auto"/>
          <w:sz w:val="21"/>
          <w:szCs w:val="21"/>
          <w:highlight w:val="none"/>
        </w:rPr>
        <w:t> </w:t>
      </w:r>
    </w:p>
    <w:p>
      <w:pPr>
        <w:pStyle w:val="12"/>
        <w:widowControl/>
        <w:spacing w:before="75" w:beforeAutospacing="0" w:after="75" w:afterAutospacing="0" w:line="420" w:lineRule="atLeast"/>
        <w:rPr>
          <w:rFonts w:ascii="宋体" w:hAnsi="宋体" w:cs="宋体"/>
          <w:color w:val="auto"/>
          <w:sz w:val="21"/>
          <w:szCs w:val="21"/>
          <w:highlight w:val="none"/>
        </w:rPr>
      </w:pPr>
      <w:r>
        <w:rPr>
          <w:rFonts w:hint="eastAsia" w:ascii="宋体" w:hAnsi="宋体" w:cs="宋体"/>
          <w:color w:val="auto"/>
          <w:sz w:val="21"/>
          <w:szCs w:val="21"/>
          <w:highlight w:val="none"/>
        </w:rPr>
        <w:t> 5.1其他规定</w:t>
      </w:r>
    </w:p>
    <w:p>
      <w:pPr>
        <w:pStyle w:val="12"/>
        <w:widowControl/>
        <w:spacing w:before="75" w:beforeAutospacing="0" w:after="75" w:afterAutospacing="0" w:line="420" w:lineRule="atLeast"/>
        <w:ind w:firstLine="480"/>
        <w:rPr>
          <w:rFonts w:ascii="宋体" w:hAnsi="宋体" w:cs="宋体"/>
          <w:color w:val="auto"/>
          <w:sz w:val="21"/>
          <w:szCs w:val="21"/>
          <w:highlight w:val="none"/>
        </w:rPr>
      </w:pPr>
      <w:r>
        <w:rPr>
          <w:rFonts w:hint="eastAsia" w:ascii="宋体" w:hAnsi="宋体" w:cs="宋体"/>
          <w:color w:val="auto"/>
          <w:sz w:val="21"/>
          <w:szCs w:val="21"/>
          <w:highlight w:val="none"/>
        </w:rPr>
        <w:t>5.1.1评审应全程保密且不得透露给任一供应商或与评审工作无关的人员。</w:t>
      </w:r>
    </w:p>
    <w:p>
      <w:pPr>
        <w:pStyle w:val="12"/>
        <w:widowControl/>
        <w:spacing w:before="75" w:beforeAutospacing="0" w:after="75" w:afterAutospacing="0" w:line="420" w:lineRule="atLeast"/>
        <w:ind w:firstLine="480"/>
        <w:rPr>
          <w:rFonts w:ascii="宋体" w:hAnsi="宋体" w:cs="宋体"/>
          <w:color w:val="auto"/>
          <w:sz w:val="21"/>
          <w:szCs w:val="21"/>
          <w:highlight w:val="none"/>
        </w:rPr>
      </w:pPr>
      <w:r>
        <w:rPr>
          <w:rFonts w:hint="eastAsia" w:ascii="宋体" w:hAnsi="宋体" w:cs="宋体"/>
          <w:color w:val="auto"/>
          <w:sz w:val="21"/>
          <w:szCs w:val="21"/>
          <w:highlight w:val="none"/>
        </w:rPr>
        <w:t>5.1.2评审将进行全程实时录音录像，录音录像资料随采购文件一并存档。</w:t>
      </w:r>
    </w:p>
    <w:p>
      <w:pPr>
        <w:pStyle w:val="12"/>
        <w:widowControl/>
        <w:spacing w:before="75" w:beforeAutospacing="0" w:after="75" w:afterAutospacing="0" w:line="420" w:lineRule="atLeast"/>
        <w:ind w:firstLine="480"/>
        <w:rPr>
          <w:rFonts w:ascii="宋体" w:hAnsi="宋体" w:cs="宋体"/>
          <w:color w:val="auto"/>
          <w:sz w:val="21"/>
          <w:szCs w:val="21"/>
          <w:highlight w:val="none"/>
        </w:rPr>
      </w:pPr>
      <w:r>
        <w:rPr>
          <w:rFonts w:hint="eastAsia" w:ascii="宋体" w:hAnsi="宋体" w:cs="宋体"/>
          <w:color w:val="auto"/>
          <w:sz w:val="21"/>
          <w:szCs w:val="21"/>
          <w:highlight w:val="none"/>
        </w:rPr>
        <w:t>5.1.3若供应商有任何试图干扰具体评审事务，影响磋商小组独立履行职责的行为，其响应无效且不予退还磋商保证金。情节严重的，由财政部门列入不良行为记录。</w:t>
      </w:r>
    </w:p>
    <w:p>
      <w:pPr>
        <w:pStyle w:val="12"/>
        <w:widowControl/>
        <w:spacing w:before="75" w:beforeAutospacing="0" w:after="75" w:afterAutospacing="0" w:line="420" w:lineRule="atLeast"/>
        <w:ind w:firstLine="480"/>
        <w:rPr>
          <w:rFonts w:ascii="宋体" w:hAnsi="宋体" w:cs="宋体"/>
          <w:color w:val="auto"/>
          <w:sz w:val="21"/>
          <w:szCs w:val="21"/>
          <w:highlight w:val="none"/>
        </w:rPr>
      </w:pPr>
      <w:r>
        <w:rPr>
          <w:rFonts w:hint="eastAsia" w:ascii="宋体" w:hAnsi="宋体" w:cs="宋体"/>
          <w:color w:val="auto"/>
          <w:sz w:val="21"/>
          <w:szCs w:val="21"/>
          <w:highlight w:val="none"/>
        </w:rPr>
        <w:t>5.1.4根据采购项目的特点和需要，需要加以详细说明的其他磋商程序规定、要求等内容：</w:t>
      </w:r>
    </w:p>
    <w:p>
      <w:pPr>
        <w:pStyle w:val="12"/>
        <w:widowControl/>
        <w:spacing w:before="75" w:beforeAutospacing="0" w:after="75" w:afterAutospacing="0" w:line="420" w:lineRule="atLeast"/>
        <w:ind w:firstLine="480"/>
        <w:rPr>
          <w:rFonts w:ascii="宋体" w:hAnsi="宋体" w:cs="宋体"/>
          <w:color w:val="auto"/>
          <w:sz w:val="21"/>
          <w:szCs w:val="21"/>
          <w:highlight w:val="none"/>
        </w:rPr>
      </w:pPr>
      <w:r>
        <w:rPr>
          <w:rFonts w:hint="eastAsia" w:ascii="宋体" w:hAnsi="宋体" w:cs="宋体"/>
          <w:color w:val="auto"/>
          <w:sz w:val="21"/>
          <w:szCs w:val="21"/>
          <w:highlight w:val="none"/>
        </w:rPr>
        <w:t>无。</w:t>
      </w:r>
    </w:p>
    <w:p>
      <w:pPr>
        <w:pStyle w:val="12"/>
        <w:widowControl/>
        <w:spacing w:before="75" w:beforeAutospacing="0" w:after="75" w:afterAutospacing="0" w:line="435" w:lineRule="atLeast"/>
        <w:jc w:val="center"/>
        <w:rPr>
          <w:rFonts w:ascii="宋体" w:hAnsi="宋体" w:cs="宋体"/>
          <w:color w:val="auto"/>
          <w:highlight w:val="none"/>
        </w:rPr>
      </w:pPr>
      <w:r>
        <w:rPr>
          <w:rFonts w:hint="eastAsia" w:ascii="宋体" w:hAnsi="宋体" w:cs="宋体"/>
          <w:color w:val="auto"/>
          <w:highlight w:val="none"/>
        </w:rPr>
        <w:t> </w:t>
      </w:r>
    </w:p>
    <w:p>
      <w:pPr>
        <w:pStyle w:val="12"/>
        <w:widowControl/>
        <w:spacing w:before="75" w:beforeAutospacing="0" w:after="75" w:afterAutospacing="0"/>
        <w:rPr>
          <w:rFonts w:ascii="宋体" w:hAnsi="宋体" w:cs="宋体"/>
          <w:color w:val="auto"/>
          <w:highlight w:val="none"/>
        </w:rPr>
      </w:pPr>
      <w:r>
        <w:rPr>
          <w:rFonts w:hint="eastAsia" w:ascii="宋体" w:hAnsi="宋体" w:cs="宋体"/>
          <w:color w:val="auto"/>
          <w:highlight w:val="none"/>
        </w:rPr>
        <w:t> </w:t>
      </w:r>
    </w:p>
    <w:p>
      <w:pPr>
        <w:pStyle w:val="12"/>
        <w:widowControl/>
        <w:spacing w:before="75" w:beforeAutospacing="0" w:after="240" w:afterAutospacing="0" w:line="435" w:lineRule="atLeast"/>
        <w:rPr>
          <w:rFonts w:ascii="宋体" w:hAnsi="宋体" w:cs="宋体"/>
          <w:color w:val="auto"/>
          <w:highlight w:val="none"/>
        </w:rPr>
      </w:pPr>
      <w:r>
        <w:rPr>
          <w:rFonts w:hint="eastAsia" w:ascii="宋体" w:hAnsi="宋体" w:cs="宋体"/>
          <w:color w:val="auto"/>
          <w:highlight w:val="none"/>
        </w:rPr>
        <w:t> </w:t>
      </w:r>
    </w:p>
    <w:p>
      <w:pPr>
        <w:widowControl/>
        <w:jc w:val="left"/>
        <w:rPr>
          <w:rFonts w:ascii="宋体" w:hAnsi="宋体" w:cs="宋体"/>
          <w:color w:val="auto"/>
          <w:highlight w:val="none"/>
        </w:rPr>
      </w:pPr>
      <w:r>
        <w:rPr>
          <w:rFonts w:hint="eastAsia" w:ascii="宋体" w:hAnsi="宋体" w:cs="宋体"/>
          <w:color w:val="auto"/>
          <w:kern w:val="0"/>
          <w:sz w:val="24"/>
          <w:highlight w:val="none"/>
          <w:lang w:bidi="ar"/>
        </w:rPr>
        <w:t> </w:t>
      </w:r>
    </w:p>
    <w:p>
      <w:pPr>
        <w:pStyle w:val="12"/>
        <w:widowControl/>
        <w:spacing w:before="75" w:beforeAutospacing="0" w:after="75" w:afterAutospacing="0"/>
        <w:jc w:val="center"/>
        <w:rPr>
          <w:rFonts w:ascii="宋体" w:hAnsi="宋体" w:cs="宋体"/>
          <w:color w:val="auto"/>
          <w:highlight w:val="none"/>
        </w:rPr>
      </w:pPr>
    </w:p>
    <w:p>
      <w:pPr>
        <w:pStyle w:val="12"/>
        <w:widowControl/>
        <w:spacing w:before="75" w:beforeAutospacing="0" w:after="75" w:afterAutospacing="0"/>
        <w:jc w:val="center"/>
        <w:rPr>
          <w:rFonts w:ascii="宋体" w:hAnsi="宋体" w:cs="宋体"/>
          <w:color w:val="auto"/>
          <w:highlight w:val="none"/>
        </w:rPr>
      </w:pPr>
    </w:p>
    <w:p>
      <w:pPr>
        <w:pStyle w:val="12"/>
        <w:widowControl/>
        <w:spacing w:before="75" w:beforeAutospacing="0" w:after="75" w:afterAutospacing="0"/>
        <w:jc w:val="center"/>
        <w:rPr>
          <w:rFonts w:ascii="宋体" w:hAnsi="宋体" w:cs="宋体"/>
          <w:color w:val="auto"/>
          <w:highlight w:val="none"/>
        </w:rPr>
      </w:pPr>
      <w:r>
        <w:rPr>
          <w:rFonts w:hint="eastAsia" w:ascii="宋体" w:hAnsi="宋体" w:cs="宋体"/>
          <w:color w:val="auto"/>
          <w:highlight w:val="none"/>
        </w:rPr>
        <w:br w:type="page"/>
      </w:r>
      <w:r>
        <w:rPr>
          <w:rStyle w:val="18"/>
          <w:rFonts w:hint="eastAsia" w:ascii="宋体" w:hAnsi="宋体" w:cs="宋体"/>
          <w:color w:val="auto"/>
          <w:sz w:val="31"/>
          <w:szCs w:val="31"/>
          <w:highlight w:val="none"/>
        </w:rPr>
        <w:t>第2节 竞争性磋商须知</w:t>
      </w:r>
      <w:r>
        <w:rPr>
          <w:rStyle w:val="18"/>
          <w:rFonts w:hint="eastAsia" w:ascii="宋体" w:hAnsi="宋体" w:cs="宋体"/>
          <w:color w:val="auto"/>
          <w:sz w:val="36"/>
          <w:szCs w:val="36"/>
          <w:highlight w:val="none"/>
        </w:rPr>
        <w:t> </w:t>
      </w:r>
    </w:p>
    <w:p>
      <w:pPr>
        <w:pStyle w:val="12"/>
        <w:widowControl/>
        <w:spacing w:before="75" w:beforeAutospacing="0" w:after="75" w:afterAutospacing="0" w:line="435" w:lineRule="atLeast"/>
        <w:jc w:val="center"/>
        <w:rPr>
          <w:rFonts w:ascii="宋体" w:hAnsi="宋体" w:cs="宋体"/>
          <w:color w:val="auto"/>
          <w:sz w:val="21"/>
          <w:szCs w:val="21"/>
          <w:highlight w:val="none"/>
        </w:rPr>
      </w:pPr>
      <w:r>
        <w:rPr>
          <w:rStyle w:val="18"/>
          <w:rFonts w:hint="eastAsia" w:ascii="宋体" w:hAnsi="宋体" w:cs="宋体"/>
          <w:color w:val="auto"/>
          <w:sz w:val="21"/>
          <w:szCs w:val="21"/>
          <w:highlight w:val="none"/>
        </w:rPr>
        <w:t>一、总则</w:t>
      </w:r>
    </w:p>
    <w:p>
      <w:pPr>
        <w:pStyle w:val="12"/>
        <w:widowControl/>
        <w:spacing w:before="75" w:beforeAutospacing="0" w:after="75" w:afterAutospacing="0" w:line="435" w:lineRule="atLeast"/>
        <w:rPr>
          <w:rFonts w:ascii="宋体" w:hAnsi="宋体" w:cs="宋体"/>
          <w:color w:val="auto"/>
          <w:sz w:val="21"/>
          <w:szCs w:val="21"/>
          <w:highlight w:val="none"/>
        </w:rPr>
      </w:pPr>
      <w:r>
        <w:rPr>
          <w:rStyle w:val="18"/>
          <w:rFonts w:hint="eastAsia" w:ascii="宋体" w:hAnsi="宋体" w:cs="宋体"/>
          <w:color w:val="auto"/>
          <w:sz w:val="21"/>
          <w:szCs w:val="21"/>
          <w:highlight w:val="none"/>
        </w:rPr>
        <w:t>1.适用范围：</w:t>
      </w:r>
    </w:p>
    <w:p>
      <w:pPr>
        <w:pStyle w:val="12"/>
        <w:widowControl/>
        <w:spacing w:before="75" w:beforeAutospacing="0" w:after="75" w:afterAutospacing="0" w:line="435" w:lineRule="atLeast"/>
        <w:ind w:firstLine="480"/>
        <w:rPr>
          <w:rFonts w:ascii="宋体" w:hAnsi="宋体" w:cs="宋体"/>
          <w:color w:val="auto"/>
          <w:sz w:val="21"/>
          <w:szCs w:val="21"/>
          <w:highlight w:val="none"/>
        </w:rPr>
      </w:pPr>
      <w:r>
        <w:rPr>
          <w:rFonts w:hint="eastAsia" w:ascii="宋体" w:hAnsi="宋体" w:cs="宋体"/>
          <w:color w:val="auto"/>
          <w:sz w:val="21"/>
          <w:szCs w:val="21"/>
          <w:highlight w:val="none"/>
        </w:rPr>
        <w:t>1.1适用于磋商文件载明项目的采购活动（以下简称：“本次采购活动”）。</w:t>
      </w:r>
    </w:p>
    <w:p>
      <w:pPr>
        <w:pStyle w:val="12"/>
        <w:widowControl/>
        <w:spacing w:before="75" w:beforeAutospacing="0" w:after="75" w:afterAutospacing="0" w:line="435" w:lineRule="atLeast"/>
        <w:rPr>
          <w:rFonts w:ascii="宋体" w:hAnsi="宋体" w:cs="宋体"/>
          <w:color w:val="auto"/>
          <w:sz w:val="21"/>
          <w:szCs w:val="21"/>
          <w:highlight w:val="none"/>
        </w:rPr>
      </w:pPr>
      <w:r>
        <w:rPr>
          <w:rStyle w:val="18"/>
          <w:rFonts w:hint="eastAsia" w:ascii="宋体" w:hAnsi="宋体" w:cs="宋体"/>
          <w:color w:val="auto"/>
          <w:sz w:val="21"/>
          <w:szCs w:val="21"/>
          <w:highlight w:val="none"/>
        </w:rPr>
        <w:t>2.定义及要求：</w:t>
      </w:r>
    </w:p>
    <w:p>
      <w:pPr>
        <w:pStyle w:val="12"/>
        <w:widowControl/>
        <w:spacing w:before="75" w:beforeAutospacing="0" w:after="75" w:afterAutospacing="0" w:line="435" w:lineRule="atLeast"/>
        <w:ind w:firstLine="480"/>
        <w:rPr>
          <w:rFonts w:ascii="宋体" w:hAnsi="宋体" w:cs="宋体"/>
          <w:color w:val="auto"/>
          <w:sz w:val="21"/>
          <w:szCs w:val="21"/>
          <w:highlight w:val="none"/>
        </w:rPr>
      </w:pPr>
      <w:r>
        <w:rPr>
          <w:rFonts w:hint="eastAsia" w:ascii="宋体" w:hAnsi="宋体" w:cs="宋体"/>
          <w:color w:val="auto"/>
          <w:sz w:val="21"/>
          <w:szCs w:val="21"/>
          <w:highlight w:val="none"/>
        </w:rPr>
        <w:t>2.1“采购标的”指磋商文件载明的需要采购的货物、服务、工程。</w:t>
      </w:r>
    </w:p>
    <w:p>
      <w:pPr>
        <w:pStyle w:val="12"/>
        <w:widowControl/>
        <w:spacing w:before="75" w:beforeAutospacing="0" w:after="75" w:afterAutospacing="0" w:line="435" w:lineRule="atLeast"/>
        <w:ind w:firstLine="480"/>
        <w:rPr>
          <w:rFonts w:ascii="宋体" w:hAnsi="宋体" w:cs="宋体"/>
          <w:color w:val="auto"/>
          <w:sz w:val="21"/>
          <w:szCs w:val="21"/>
          <w:highlight w:val="none"/>
        </w:rPr>
      </w:pPr>
      <w:r>
        <w:rPr>
          <w:rFonts w:hint="eastAsia" w:ascii="宋体" w:hAnsi="宋体" w:cs="宋体"/>
          <w:color w:val="auto"/>
          <w:sz w:val="21"/>
          <w:szCs w:val="21"/>
          <w:highlight w:val="none"/>
        </w:rPr>
        <w:t>2.2“采购人”指本次采购项目的买方、或业主方、或甲方，具体见磋商文件第一章；“采购代理机构”系指接受采购人委托，组织开展竞争性磋商采购活动的代理机构，具体见磋商文件第一章。</w:t>
      </w:r>
    </w:p>
    <w:p>
      <w:pPr>
        <w:pStyle w:val="12"/>
        <w:widowControl/>
        <w:spacing w:before="75" w:beforeAutospacing="0" w:after="75" w:afterAutospacing="0" w:line="435" w:lineRule="atLeast"/>
        <w:ind w:firstLine="480"/>
        <w:rPr>
          <w:rFonts w:ascii="宋体" w:hAnsi="宋体" w:cs="宋体"/>
          <w:color w:val="auto"/>
          <w:sz w:val="21"/>
          <w:szCs w:val="21"/>
          <w:highlight w:val="none"/>
        </w:rPr>
      </w:pPr>
      <w:r>
        <w:rPr>
          <w:rFonts w:hint="eastAsia" w:ascii="宋体" w:hAnsi="宋体" w:cs="宋体"/>
          <w:color w:val="auto"/>
          <w:sz w:val="21"/>
          <w:szCs w:val="21"/>
          <w:highlight w:val="none"/>
        </w:rPr>
        <w:t>2.3“潜在供应商”按照磋商文件第一章规定进行报名，且有意向参加本项目响应磋商的供应商。</w:t>
      </w:r>
    </w:p>
    <w:p>
      <w:pPr>
        <w:pStyle w:val="12"/>
        <w:widowControl/>
        <w:spacing w:before="75" w:beforeAutospacing="0" w:after="75" w:afterAutospacing="0" w:line="435" w:lineRule="atLeast"/>
        <w:ind w:firstLine="480"/>
        <w:rPr>
          <w:rFonts w:ascii="宋体" w:hAnsi="宋体" w:cs="宋体"/>
          <w:color w:val="auto"/>
          <w:sz w:val="21"/>
          <w:szCs w:val="21"/>
          <w:highlight w:val="none"/>
        </w:rPr>
      </w:pPr>
      <w:r>
        <w:rPr>
          <w:rFonts w:hint="eastAsia" w:ascii="宋体" w:hAnsi="宋体" w:cs="宋体"/>
          <w:color w:val="auto"/>
          <w:sz w:val="21"/>
          <w:szCs w:val="21"/>
          <w:highlight w:val="none"/>
        </w:rPr>
        <w:t>2.4“供应商”指按照磋商文件第一章规定进行报名，且已经提交响应文件的法人或其他组织或自然人。只有适合自然人参与和承接的采购项目，供应商才可以是自然人。</w:t>
      </w:r>
    </w:p>
    <w:p>
      <w:pPr>
        <w:pStyle w:val="12"/>
        <w:widowControl/>
        <w:spacing w:before="75" w:beforeAutospacing="0" w:after="75" w:afterAutospacing="0" w:line="435" w:lineRule="atLeast"/>
        <w:ind w:firstLine="480"/>
        <w:rPr>
          <w:rFonts w:ascii="宋体" w:hAnsi="宋体" w:cs="宋体"/>
          <w:color w:val="auto"/>
          <w:sz w:val="21"/>
          <w:szCs w:val="21"/>
          <w:highlight w:val="none"/>
        </w:rPr>
      </w:pPr>
      <w:r>
        <w:rPr>
          <w:rFonts w:hint="eastAsia" w:ascii="宋体" w:hAnsi="宋体" w:cs="宋体"/>
          <w:color w:val="auto"/>
          <w:sz w:val="21"/>
          <w:szCs w:val="21"/>
          <w:highlight w:val="none"/>
        </w:rPr>
        <w:t>2.5“单位负责人”指单位法定代表人（供应商为法人的）或法律、法规规定代表单位行使职权的主要负责人（供应商为其他组织的）。</w:t>
      </w:r>
    </w:p>
    <w:p>
      <w:pPr>
        <w:pStyle w:val="12"/>
        <w:widowControl/>
        <w:spacing w:before="75" w:beforeAutospacing="0" w:after="75" w:afterAutospacing="0" w:line="435" w:lineRule="atLeast"/>
        <w:ind w:firstLine="480"/>
        <w:rPr>
          <w:rFonts w:ascii="宋体" w:hAnsi="宋体" w:cs="宋体"/>
          <w:color w:val="auto"/>
          <w:sz w:val="21"/>
          <w:szCs w:val="21"/>
          <w:highlight w:val="none"/>
        </w:rPr>
      </w:pPr>
      <w:r>
        <w:rPr>
          <w:rFonts w:hint="eastAsia" w:ascii="宋体" w:hAnsi="宋体" w:cs="宋体"/>
          <w:color w:val="auto"/>
          <w:sz w:val="21"/>
          <w:szCs w:val="21"/>
          <w:highlight w:val="none"/>
        </w:rPr>
        <w:t>2.6“供应商代表”指供应商（为法人或其他组织的）的单位负责人或由其授权的委托代理人，即单位负责人授权书中载明的接受授权方。供应商为自然人的，由本人签字并附身份证明。</w:t>
      </w:r>
    </w:p>
    <w:p>
      <w:pPr>
        <w:pStyle w:val="12"/>
        <w:widowControl/>
        <w:spacing w:before="75" w:beforeAutospacing="0" w:after="75" w:afterAutospacing="0" w:line="435" w:lineRule="atLeast"/>
        <w:ind w:firstLine="480"/>
        <w:rPr>
          <w:rFonts w:ascii="宋体" w:hAnsi="宋体" w:cs="宋体"/>
          <w:b/>
          <w:bCs/>
          <w:color w:val="auto"/>
          <w:sz w:val="21"/>
          <w:szCs w:val="21"/>
          <w:highlight w:val="none"/>
        </w:rPr>
      </w:pPr>
      <w:r>
        <w:rPr>
          <w:rFonts w:hint="eastAsia" w:ascii="宋体" w:hAnsi="宋体" w:cs="宋体"/>
          <w:b/>
          <w:bCs/>
          <w:color w:val="auto"/>
          <w:sz w:val="21"/>
          <w:szCs w:val="21"/>
          <w:highlight w:val="none"/>
        </w:rPr>
        <w:t>2.7磋商文件中提及的相关法规政策、规范性文件、标准及相关要求等，若存在已被依法替换、废止等情况或与最新更新的权威规定、标准有冲突的，应以最新的相关规定标准为准。</w:t>
      </w:r>
    </w:p>
    <w:p>
      <w:pPr>
        <w:pStyle w:val="12"/>
        <w:widowControl/>
        <w:spacing w:before="75" w:beforeAutospacing="0" w:after="75" w:afterAutospacing="0" w:line="435" w:lineRule="atLeast"/>
        <w:rPr>
          <w:rFonts w:ascii="宋体" w:hAnsi="宋体" w:cs="宋体"/>
          <w:color w:val="auto"/>
          <w:sz w:val="21"/>
          <w:szCs w:val="21"/>
          <w:highlight w:val="none"/>
        </w:rPr>
      </w:pPr>
      <w:r>
        <w:rPr>
          <w:rStyle w:val="18"/>
          <w:rFonts w:hint="eastAsia" w:ascii="宋体" w:hAnsi="宋体" w:cs="宋体"/>
          <w:color w:val="auto"/>
          <w:sz w:val="21"/>
          <w:szCs w:val="21"/>
          <w:highlight w:val="none"/>
        </w:rPr>
        <w:t>3.合格的</w:t>
      </w:r>
      <w:r>
        <w:rPr>
          <w:rFonts w:hint="eastAsia" w:ascii="宋体" w:hAnsi="宋体" w:cs="宋体"/>
          <w:color w:val="auto"/>
          <w:sz w:val="21"/>
          <w:szCs w:val="21"/>
          <w:highlight w:val="none"/>
        </w:rPr>
        <w:t>供应商</w:t>
      </w:r>
      <w:r>
        <w:rPr>
          <w:rStyle w:val="18"/>
          <w:rFonts w:hint="eastAsia" w:ascii="宋体" w:hAnsi="宋体" w:cs="宋体"/>
          <w:color w:val="auto"/>
          <w:sz w:val="21"/>
          <w:szCs w:val="21"/>
          <w:highlight w:val="none"/>
        </w:rPr>
        <w:t>：</w:t>
      </w:r>
    </w:p>
    <w:p>
      <w:pPr>
        <w:pStyle w:val="12"/>
        <w:widowControl/>
        <w:spacing w:before="75" w:beforeAutospacing="0" w:after="75" w:afterAutospacing="0" w:line="435" w:lineRule="atLeast"/>
        <w:ind w:firstLine="480"/>
        <w:rPr>
          <w:rFonts w:ascii="宋体" w:hAnsi="宋体" w:cs="宋体"/>
          <w:color w:val="auto"/>
          <w:sz w:val="21"/>
          <w:szCs w:val="21"/>
          <w:highlight w:val="none"/>
        </w:rPr>
      </w:pPr>
      <w:r>
        <w:rPr>
          <w:rFonts w:hint="eastAsia" w:ascii="宋体" w:hAnsi="宋体" w:cs="宋体"/>
          <w:color w:val="auto"/>
          <w:sz w:val="21"/>
          <w:szCs w:val="21"/>
          <w:highlight w:val="none"/>
        </w:rPr>
        <w:t>3.1一般规定</w:t>
      </w:r>
    </w:p>
    <w:p>
      <w:pPr>
        <w:pStyle w:val="12"/>
        <w:widowControl/>
        <w:spacing w:before="75" w:beforeAutospacing="0" w:after="75" w:afterAutospacing="0" w:line="435" w:lineRule="atLeast"/>
        <w:ind w:firstLine="480"/>
        <w:rPr>
          <w:rFonts w:ascii="宋体" w:hAnsi="宋体" w:cs="宋体"/>
          <w:color w:val="auto"/>
          <w:sz w:val="21"/>
          <w:szCs w:val="21"/>
          <w:highlight w:val="none"/>
        </w:rPr>
      </w:pPr>
      <w:r>
        <w:rPr>
          <w:rFonts w:hint="eastAsia" w:ascii="宋体" w:hAnsi="宋体" w:cs="宋体"/>
          <w:color w:val="auto"/>
          <w:sz w:val="21"/>
          <w:szCs w:val="21"/>
          <w:highlight w:val="none"/>
        </w:rPr>
        <w:t>3.1.1供应商应当遵守中国的有关法律、法规和规章的规定，参加采购活动时已经自觉检查并按照政府采购相关法律规定，主动回避相应利害关系。</w:t>
      </w:r>
    </w:p>
    <w:p>
      <w:pPr>
        <w:pStyle w:val="12"/>
        <w:widowControl/>
        <w:spacing w:before="75" w:beforeAutospacing="0" w:after="75" w:afterAutospacing="0" w:line="435" w:lineRule="atLeast"/>
        <w:ind w:firstLine="480"/>
        <w:rPr>
          <w:rFonts w:ascii="宋体" w:hAnsi="宋体" w:cs="宋体"/>
          <w:color w:val="auto"/>
          <w:sz w:val="21"/>
          <w:szCs w:val="21"/>
          <w:highlight w:val="none"/>
        </w:rPr>
      </w:pPr>
      <w:r>
        <w:rPr>
          <w:rFonts w:hint="eastAsia" w:ascii="宋体" w:hAnsi="宋体" w:cs="宋体"/>
          <w:color w:val="auto"/>
          <w:sz w:val="21"/>
          <w:szCs w:val="21"/>
          <w:highlight w:val="none"/>
        </w:rPr>
        <w:t>3.1.2为采购项目提供整体设计、规范编制或项目管理、监理、检测等服务的供应商，不得再参加该采购项目除整体设计、规范编制和项目管理、监理、检测等服务之外的其他采购活动</w:t>
      </w:r>
      <w:r>
        <w:rPr>
          <w:rStyle w:val="18"/>
          <w:rFonts w:hint="eastAsia" w:ascii="宋体" w:hAnsi="宋体" w:cs="宋体"/>
          <w:color w:val="auto"/>
          <w:sz w:val="21"/>
          <w:szCs w:val="21"/>
          <w:highlight w:val="none"/>
        </w:rPr>
        <w:t>。</w:t>
      </w:r>
    </w:p>
    <w:p>
      <w:pPr>
        <w:pStyle w:val="12"/>
        <w:widowControl/>
        <w:spacing w:before="75" w:beforeAutospacing="0" w:after="75" w:afterAutospacing="0" w:line="435" w:lineRule="atLeast"/>
        <w:ind w:firstLine="480"/>
        <w:rPr>
          <w:rFonts w:ascii="宋体" w:hAnsi="宋体" w:cs="宋体"/>
          <w:color w:val="auto"/>
          <w:sz w:val="21"/>
          <w:szCs w:val="21"/>
          <w:highlight w:val="none"/>
        </w:rPr>
      </w:pPr>
      <w:r>
        <w:rPr>
          <w:rFonts w:hint="eastAsia" w:ascii="宋体" w:hAnsi="宋体" w:cs="宋体"/>
          <w:color w:val="auto"/>
          <w:sz w:val="21"/>
          <w:szCs w:val="21"/>
          <w:highlight w:val="none"/>
        </w:rPr>
        <w:t>3.1.3列入失信被执行人、重大税收违法案件当事人名单、政府采购严重违法失信行为记录名单及其他不符合《中华人民共和国政府采购法》第二十二条规定条件的供应商，不得参加采购活动</w:t>
      </w:r>
      <w:r>
        <w:rPr>
          <w:rStyle w:val="18"/>
          <w:rFonts w:hint="eastAsia" w:ascii="宋体" w:hAnsi="宋体" w:cs="宋体"/>
          <w:color w:val="auto"/>
          <w:sz w:val="21"/>
          <w:szCs w:val="21"/>
          <w:highlight w:val="none"/>
        </w:rPr>
        <w:t>。</w:t>
      </w:r>
    </w:p>
    <w:p>
      <w:pPr>
        <w:pStyle w:val="12"/>
        <w:widowControl/>
        <w:spacing w:before="75" w:beforeAutospacing="0" w:after="75" w:afterAutospacing="0" w:line="435" w:lineRule="atLeast"/>
        <w:ind w:firstLine="480"/>
        <w:rPr>
          <w:rFonts w:ascii="宋体" w:hAnsi="宋体" w:cs="宋体"/>
          <w:color w:val="auto"/>
          <w:sz w:val="21"/>
          <w:szCs w:val="21"/>
          <w:highlight w:val="none"/>
        </w:rPr>
      </w:pPr>
      <w:r>
        <w:rPr>
          <w:rStyle w:val="18"/>
          <w:rFonts w:hint="eastAsia" w:ascii="宋体" w:hAnsi="宋体" w:cs="宋体"/>
          <w:color w:val="auto"/>
          <w:sz w:val="21"/>
          <w:szCs w:val="21"/>
          <w:highlight w:val="none"/>
        </w:rPr>
        <w:t>供应商有责任检查自身情况，在响应文件中对是否违反以上一般规定做出如实响应，否则其响应文件将被否决。</w:t>
      </w:r>
    </w:p>
    <w:p>
      <w:pPr>
        <w:pStyle w:val="12"/>
        <w:widowControl/>
        <w:spacing w:before="75" w:beforeAutospacing="0" w:after="75" w:afterAutospacing="0" w:line="435" w:lineRule="atLeast"/>
        <w:ind w:firstLine="480"/>
        <w:rPr>
          <w:rFonts w:ascii="宋体" w:hAnsi="宋体" w:cs="宋体"/>
          <w:color w:val="auto"/>
          <w:sz w:val="21"/>
          <w:szCs w:val="21"/>
          <w:highlight w:val="none"/>
        </w:rPr>
      </w:pPr>
      <w:r>
        <w:rPr>
          <w:rFonts w:hint="eastAsia" w:ascii="宋体" w:hAnsi="宋体" w:cs="宋体"/>
          <w:color w:val="auto"/>
          <w:sz w:val="21"/>
          <w:szCs w:val="21"/>
          <w:highlight w:val="none"/>
        </w:rPr>
        <w:t>3.2特别规定</w:t>
      </w:r>
    </w:p>
    <w:p>
      <w:pPr>
        <w:pStyle w:val="12"/>
        <w:widowControl/>
        <w:spacing w:before="75" w:beforeAutospacing="0" w:after="75" w:afterAutospacing="0" w:line="435" w:lineRule="atLeast"/>
        <w:ind w:firstLine="480"/>
        <w:rPr>
          <w:rFonts w:ascii="宋体" w:hAnsi="宋体" w:cs="宋体"/>
          <w:color w:val="auto"/>
          <w:sz w:val="21"/>
          <w:szCs w:val="21"/>
          <w:highlight w:val="none"/>
        </w:rPr>
      </w:pPr>
      <w:r>
        <w:rPr>
          <w:rFonts w:hint="eastAsia" w:ascii="宋体" w:hAnsi="宋体" w:cs="宋体"/>
          <w:color w:val="auto"/>
          <w:sz w:val="21"/>
          <w:szCs w:val="21"/>
          <w:highlight w:val="none"/>
        </w:rPr>
        <w:t>3.2.1供应商的资格要求：详见竞争性磋商须知前附表第</w:t>
      </w:r>
      <w:r>
        <w:rPr>
          <w:rFonts w:hint="eastAsia" w:ascii="宋体" w:hAnsi="宋体" w:cs="宋体"/>
          <w:color w:val="auto"/>
          <w:sz w:val="21"/>
          <w:szCs w:val="21"/>
          <w:highlight w:val="none"/>
          <w:u w:val="single"/>
        </w:rPr>
        <w:t>1</w:t>
      </w:r>
      <w:r>
        <w:rPr>
          <w:rFonts w:hint="eastAsia" w:ascii="宋体" w:hAnsi="宋体" w:cs="宋体"/>
          <w:color w:val="auto"/>
          <w:sz w:val="21"/>
          <w:szCs w:val="21"/>
          <w:highlight w:val="none"/>
        </w:rPr>
        <w:t>项。</w:t>
      </w:r>
    </w:p>
    <w:p>
      <w:pPr>
        <w:pStyle w:val="12"/>
        <w:widowControl/>
        <w:spacing w:before="75" w:beforeAutospacing="0" w:after="75" w:afterAutospacing="0" w:line="435" w:lineRule="atLeast"/>
        <w:ind w:firstLine="480"/>
        <w:rPr>
          <w:rFonts w:ascii="宋体" w:hAnsi="宋体" w:cs="宋体"/>
          <w:color w:val="auto"/>
          <w:sz w:val="21"/>
          <w:szCs w:val="21"/>
          <w:highlight w:val="none"/>
        </w:rPr>
      </w:pPr>
      <w:r>
        <w:rPr>
          <w:rFonts w:hint="eastAsia" w:ascii="宋体" w:hAnsi="宋体" w:cs="宋体"/>
          <w:color w:val="auto"/>
          <w:sz w:val="21"/>
          <w:szCs w:val="21"/>
          <w:highlight w:val="none"/>
        </w:rPr>
        <w:t>3.2.2是否接受联合体形式的响应磋商：详见竞争性磋商须知前附表第</w:t>
      </w:r>
      <w:r>
        <w:rPr>
          <w:rFonts w:hint="eastAsia" w:ascii="宋体" w:hAnsi="宋体" w:cs="宋体"/>
          <w:color w:val="auto"/>
          <w:sz w:val="21"/>
          <w:szCs w:val="21"/>
          <w:highlight w:val="none"/>
          <w:u w:val="single"/>
        </w:rPr>
        <w:t>2</w:t>
      </w:r>
      <w:r>
        <w:rPr>
          <w:rFonts w:hint="eastAsia" w:ascii="宋体" w:hAnsi="宋体" w:cs="宋体"/>
          <w:color w:val="auto"/>
          <w:sz w:val="21"/>
          <w:szCs w:val="21"/>
          <w:highlight w:val="none"/>
        </w:rPr>
        <w:t>项。若接受联合体形式且供应商为联合体，则联合体各方除了应遵守本章第3.1条规定外，还应遵守下列规定：</w:t>
      </w:r>
    </w:p>
    <w:p>
      <w:pPr>
        <w:pStyle w:val="12"/>
        <w:widowControl/>
        <w:spacing w:before="75" w:beforeAutospacing="0" w:after="75" w:afterAutospacing="0" w:line="435" w:lineRule="atLeast"/>
        <w:ind w:firstLine="480"/>
        <w:rPr>
          <w:rFonts w:ascii="宋体" w:hAnsi="宋体" w:cs="宋体"/>
          <w:color w:val="auto"/>
          <w:sz w:val="21"/>
          <w:szCs w:val="21"/>
          <w:highlight w:val="none"/>
        </w:rPr>
      </w:pPr>
      <w:r>
        <w:rPr>
          <w:rFonts w:hint="eastAsia" w:ascii="宋体" w:hAnsi="宋体" w:cs="宋体"/>
          <w:color w:val="auto"/>
          <w:sz w:val="21"/>
          <w:szCs w:val="21"/>
          <w:highlight w:val="none"/>
        </w:rPr>
        <w:t>（1）联合体各方应提交联合体协议，联合体协议应符合磋商文件规定。</w:t>
      </w:r>
    </w:p>
    <w:p>
      <w:pPr>
        <w:pStyle w:val="12"/>
        <w:widowControl/>
        <w:spacing w:before="75" w:beforeAutospacing="0" w:after="75" w:afterAutospacing="0" w:line="435" w:lineRule="atLeast"/>
        <w:ind w:firstLine="480"/>
        <w:rPr>
          <w:rFonts w:ascii="宋体" w:hAnsi="宋体" w:cs="宋体"/>
          <w:color w:val="auto"/>
          <w:sz w:val="21"/>
          <w:szCs w:val="21"/>
          <w:highlight w:val="none"/>
        </w:rPr>
      </w:pPr>
      <w:r>
        <w:rPr>
          <w:rFonts w:hint="eastAsia" w:ascii="宋体" w:hAnsi="宋体" w:cs="宋体"/>
          <w:color w:val="auto"/>
          <w:sz w:val="21"/>
          <w:szCs w:val="21"/>
          <w:highlight w:val="none"/>
        </w:rPr>
        <w:t>（2）联合体各方不得再单独参加或与其他供应商另外组成联合体参加同一合同项下的响应磋商。</w:t>
      </w:r>
    </w:p>
    <w:p>
      <w:pPr>
        <w:pStyle w:val="12"/>
        <w:widowControl/>
        <w:spacing w:before="75" w:beforeAutospacing="0" w:after="75" w:afterAutospacing="0" w:line="435" w:lineRule="atLeast"/>
        <w:ind w:firstLine="480"/>
        <w:rPr>
          <w:rFonts w:ascii="宋体" w:hAnsi="宋体" w:cs="宋体"/>
          <w:color w:val="auto"/>
          <w:sz w:val="21"/>
          <w:szCs w:val="21"/>
          <w:highlight w:val="none"/>
        </w:rPr>
      </w:pPr>
      <w:r>
        <w:rPr>
          <w:rFonts w:hint="eastAsia" w:ascii="宋体" w:hAnsi="宋体" w:cs="宋体"/>
          <w:color w:val="auto"/>
          <w:sz w:val="21"/>
          <w:szCs w:val="21"/>
          <w:highlight w:val="none"/>
        </w:rPr>
        <w:t>（3）联合体各方应共同与采购人签订采购合同，就采购合同约定的事项对采购人承担连带责任。</w:t>
      </w:r>
    </w:p>
    <w:p>
      <w:pPr>
        <w:pStyle w:val="12"/>
        <w:widowControl/>
        <w:spacing w:before="75" w:beforeAutospacing="0" w:after="75" w:afterAutospacing="0" w:line="435" w:lineRule="atLeast"/>
        <w:ind w:firstLine="480"/>
        <w:rPr>
          <w:rFonts w:ascii="宋体" w:hAnsi="宋体" w:cs="宋体"/>
          <w:color w:val="auto"/>
          <w:sz w:val="21"/>
          <w:szCs w:val="21"/>
          <w:highlight w:val="none"/>
        </w:rPr>
      </w:pPr>
      <w:r>
        <w:rPr>
          <w:rFonts w:hint="eastAsia" w:ascii="宋体" w:hAnsi="宋体" w:cs="宋体"/>
          <w:color w:val="auto"/>
          <w:sz w:val="21"/>
          <w:szCs w:val="21"/>
          <w:highlight w:val="none"/>
        </w:rPr>
        <w:t>（4）项目如涉及资质要求，该部分工作内容应由联合体中符合该资质要求的供应商承担，联合体协议及签订的采购合同应符合这一要求；联合体中有同类资质的供应商按照联合体分工承担相同工作的，应当按照资质等级较低的供应商确定资质等级。</w:t>
      </w:r>
    </w:p>
    <w:p>
      <w:pPr>
        <w:pStyle w:val="12"/>
        <w:widowControl/>
        <w:spacing w:before="75" w:beforeAutospacing="0" w:after="75" w:afterAutospacing="0" w:line="435" w:lineRule="atLeast"/>
        <w:ind w:firstLine="480"/>
        <w:rPr>
          <w:rFonts w:ascii="宋体" w:hAnsi="宋体" w:cs="宋体"/>
          <w:color w:val="auto"/>
          <w:sz w:val="21"/>
          <w:szCs w:val="21"/>
          <w:highlight w:val="none"/>
        </w:rPr>
      </w:pPr>
      <w:r>
        <w:rPr>
          <w:rFonts w:hint="eastAsia" w:ascii="宋体" w:hAnsi="宋体" w:cs="宋体"/>
          <w:color w:val="auto"/>
          <w:sz w:val="21"/>
          <w:szCs w:val="21"/>
          <w:highlight w:val="none"/>
        </w:rPr>
        <w:t>（5）联合体一方放弃成交的，视为联合体整体放弃成交，联合体各方承担连带责任。</w:t>
      </w:r>
    </w:p>
    <w:p>
      <w:pPr>
        <w:pStyle w:val="12"/>
        <w:widowControl/>
        <w:spacing w:before="75" w:beforeAutospacing="0" w:after="75" w:afterAutospacing="0" w:line="435" w:lineRule="atLeast"/>
        <w:ind w:firstLine="480"/>
        <w:rPr>
          <w:rFonts w:ascii="宋体" w:hAnsi="宋体" w:cs="宋体"/>
          <w:color w:val="auto"/>
          <w:sz w:val="21"/>
          <w:szCs w:val="21"/>
          <w:highlight w:val="none"/>
        </w:rPr>
      </w:pPr>
      <w:r>
        <w:rPr>
          <w:rFonts w:hint="eastAsia" w:ascii="宋体" w:hAnsi="宋体" w:cs="宋体"/>
          <w:color w:val="auto"/>
          <w:sz w:val="21"/>
          <w:szCs w:val="21"/>
          <w:highlight w:val="none"/>
        </w:rPr>
        <w:t>（6）如本项目不接受联合体投标而投标人为联合体的，或者本项目接受联合体投标但投标人组成的联合体不符合本章第3.2条规定的，投标（响应）无效。</w:t>
      </w:r>
    </w:p>
    <w:p>
      <w:pPr>
        <w:pStyle w:val="12"/>
        <w:widowControl/>
        <w:spacing w:before="75" w:beforeAutospacing="0" w:after="75" w:afterAutospacing="0" w:line="435" w:lineRule="atLeast"/>
        <w:ind w:firstLine="480"/>
        <w:rPr>
          <w:rFonts w:ascii="宋体" w:hAnsi="宋体" w:cs="宋体"/>
          <w:color w:val="auto"/>
          <w:sz w:val="21"/>
          <w:szCs w:val="21"/>
          <w:highlight w:val="none"/>
        </w:rPr>
      </w:pPr>
      <w:r>
        <w:rPr>
          <w:rFonts w:hint="eastAsia" w:ascii="宋体" w:hAnsi="宋体" w:cs="宋体"/>
          <w:color w:val="auto"/>
          <w:sz w:val="21"/>
          <w:szCs w:val="21"/>
          <w:highlight w:val="none"/>
        </w:rPr>
        <w:t>3.2.3若接受联合体形式，单位负责人为同一人或者存在直接控股、管理关系的不同供应商可以组成一个联合体，以一个供应商的身份参加采购活动。若不接受联合体形式，则单位负责人为同一人或者存在直接控股、管理关系的不同供应商，不得参加同一合同项下的采购活动。</w:t>
      </w:r>
    </w:p>
    <w:p>
      <w:pPr>
        <w:pStyle w:val="12"/>
        <w:widowControl/>
        <w:spacing w:before="75" w:beforeAutospacing="0" w:after="75" w:afterAutospacing="0" w:line="435" w:lineRule="atLeast"/>
        <w:rPr>
          <w:rFonts w:ascii="宋体" w:hAnsi="宋体" w:cs="宋体"/>
          <w:color w:val="auto"/>
          <w:sz w:val="21"/>
          <w:szCs w:val="21"/>
          <w:highlight w:val="none"/>
        </w:rPr>
      </w:pPr>
      <w:r>
        <w:rPr>
          <w:rStyle w:val="18"/>
          <w:rFonts w:hint="eastAsia" w:ascii="宋体" w:hAnsi="宋体" w:cs="宋体"/>
          <w:color w:val="auto"/>
          <w:sz w:val="21"/>
          <w:szCs w:val="21"/>
          <w:highlight w:val="none"/>
        </w:rPr>
        <w:t>4.参与竞争性磋商费用：</w:t>
      </w:r>
    </w:p>
    <w:p>
      <w:pPr>
        <w:pStyle w:val="12"/>
        <w:widowControl/>
        <w:spacing w:before="75" w:beforeAutospacing="0" w:after="75" w:afterAutospacing="0" w:line="435" w:lineRule="atLeast"/>
        <w:ind w:firstLine="480"/>
        <w:rPr>
          <w:rFonts w:ascii="宋体" w:hAnsi="宋体" w:cs="宋体"/>
          <w:color w:val="auto"/>
          <w:sz w:val="21"/>
          <w:szCs w:val="21"/>
          <w:highlight w:val="none"/>
        </w:rPr>
      </w:pPr>
      <w:r>
        <w:rPr>
          <w:rFonts w:hint="eastAsia" w:ascii="宋体" w:hAnsi="宋体" w:cs="宋体"/>
          <w:color w:val="auto"/>
          <w:sz w:val="21"/>
          <w:szCs w:val="21"/>
          <w:highlight w:val="none"/>
        </w:rPr>
        <w:t>4.1除法律法规或采购文件另有规定之外，供应商应自行承担其准备与参加竞争性磋商所涉及的一切费用。</w:t>
      </w:r>
    </w:p>
    <w:p>
      <w:pPr>
        <w:pStyle w:val="12"/>
        <w:widowControl/>
        <w:spacing w:before="75" w:beforeAutospacing="0" w:after="75" w:afterAutospacing="0" w:line="435" w:lineRule="atLeast"/>
        <w:jc w:val="center"/>
        <w:rPr>
          <w:rFonts w:ascii="宋体" w:hAnsi="宋体" w:cs="宋体"/>
          <w:color w:val="auto"/>
          <w:sz w:val="21"/>
          <w:szCs w:val="21"/>
          <w:highlight w:val="none"/>
        </w:rPr>
      </w:pPr>
      <w:r>
        <w:rPr>
          <w:rFonts w:hint="eastAsia" w:ascii="宋体" w:hAnsi="宋体" w:cs="宋体"/>
          <w:color w:val="auto"/>
          <w:sz w:val="21"/>
          <w:szCs w:val="21"/>
          <w:highlight w:val="none"/>
        </w:rPr>
        <w:t> </w:t>
      </w:r>
    </w:p>
    <w:p>
      <w:pPr>
        <w:pStyle w:val="12"/>
        <w:widowControl/>
        <w:spacing w:before="75" w:beforeAutospacing="0" w:after="75" w:afterAutospacing="0" w:line="435" w:lineRule="atLeast"/>
        <w:jc w:val="center"/>
        <w:rPr>
          <w:rFonts w:ascii="宋体" w:hAnsi="宋体" w:cs="宋体"/>
          <w:color w:val="auto"/>
          <w:sz w:val="21"/>
          <w:szCs w:val="21"/>
          <w:highlight w:val="none"/>
        </w:rPr>
      </w:pPr>
      <w:r>
        <w:rPr>
          <w:rStyle w:val="18"/>
          <w:rFonts w:hint="eastAsia" w:ascii="宋体" w:hAnsi="宋体" w:cs="宋体"/>
          <w:color w:val="auto"/>
          <w:sz w:val="21"/>
          <w:szCs w:val="21"/>
          <w:highlight w:val="none"/>
        </w:rPr>
        <w:t>二、竞争性磋商文件</w:t>
      </w:r>
    </w:p>
    <w:p>
      <w:pPr>
        <w:pStyle w:val="12"/>
        <w:widowControl/>
        <w:spacing w:before="75" w:beforeAutospacing="0" w:after="75" w:afterAutospacing="0" w:line="435" w:lineRule="atLeast"/>
        <w:jc w:val="center"/>
        <w:rPr>
          <w:rFonts w:ascii="宋体" w:hAnsi="宋体" w:cs="宋体"/>
          <w:color w:val="auto"/>
          <w:sz w:val="21"/>
          <w:szCs w:val="21"/>
          <w:highlight w:val="none"/>
        </w:rPr>
      </w:pPr>
      <w:r>
        <w:rPr>
          <w:rStyle w:val="18"/>
          <w:rFonts w:hint="eastAsia" w:ascii="宋体" w:hAnsi="宋体" w:cs="宋体"/>
          <w:color w:val="auto"/>
          <w:sz w:val="21"/>
          <w:szCs w:val="21"/>
          <w:highlight w:val="none"/>
        </w:rPr>
        <w:t> </w:t>
      </w:r>
    </w:p>
    <w:p>
      <w:pPr>
        <w:pStyle w:val="12"/>
        <w:widowControl/>
        <w:spacing w:before="75" w:beforeAutospacing="0" w:after="75" w:afterAutospacing="0" w:line="435" w:lineRule="atLeast"/>
        <w:rPr>
          <w:rFonts w:ascii="宋体" w:hAnsi="宋体" w:cs="宋体"/>
          <w:color w:val="auto"/>
          <w:sz w:val="21"/>
          <w:szCs w:val="21"/>
          <w:highlight w:val="none"/>
        </w:rPr>
      </w:pPr>
      <w:r>
        <w:rPr>
          <w:rStyle w:val="18"/>
          <w:rFonts w:hint="eastAsia" w:ascii="宋体" w:hAnsi="宋体" w:cs="宋体"/>
          <w:color w:val="auto"/>
          <w:sz w:val="21"/>
          <w:szCs w:val="21"/>
          <w:highlight w:val="none"/>
        </w:rPr>
        <w:t>5.竞争性磋商文件的组成：</w:t>
      </w:r>
    </w:p>
    <w:p>
      <w:pPr>
        <w:pStyle w:val="12"/>
        <w:widowControl/>
        <w:spacing w:before="75" w:beforeAutospacing="0" w:after="75" w:afterAutospacing="0" w:line="435" w:lineRule="atLeast"/>
        <w:ind w:firstLine="480"/>
        <w:rPr>
          <w:rFonts w:ascii="宋体" w:hAnsi="宋体" w:cs="宋体"/>
          <w:color w:val="auto"/>
          <w:sz w:val="21"/>
          <w:szCs w:val="21"/>
          <w:highlight w:val="none"/>
        </w:rPr>
      </w:pPr>
      <w:r>
        <w:rPr>
          <w:rFonts w:hint="eastAsia" w:ascii="宋体" w:hAnsi="宋体" w:cs="宋体"/>
          <w:color w:val="auto"/>
          <w:sz w:val="21"/>
          <w:szCs w:val="21"/>
          <w:highlight w:val="none"/>
        </w:rPr>
        <w:t>5.1竞争性磋商文件由下述部分组成：</w:t>
      </w:r>
    </w:p>
    <w:p>
      <w:pPr>
        <w:pStyle w:val="12"/>
        <w:widowControl/>
        <w:spacing w:before="75" w:beforeAutospacing="0" w:after="75" w:afterAutospacing="0" w:line="435" w:lineRule="atLeast"/>
        <w:ind w:firstLine="480"/>
        <w:rPr>
          <w:rFonts w:ascii="宋体" w:hAnsi="宋体" w:cs="宋体"/>
          <w:color w:val="auto"/>
          <w:sz w:val="21"/>
          <w:szCs w:val="21"/>
          <w:highlight w:val="none"/>
        </w:rPr>
      </w:pPr>
      <w:r>
        <w:rPr>
          <w:rFonts w:hint="eastAsia" w:ascii="宋体" w:hAnsi="宋体" w:cs="宋体"/>
          <w:color w:val="auto"/>
          <w:sz w:val="21"/>
          <w:szCs w:val="21"/>
          <w:highlight w:val="none"/>
        </w:rPr>
        <w:t>第一章 采购公告（或采购邀请书）</w:t>
      </w:r>
    </w:p>
    <w:p>
      <w:pPr>
        <w:pStyle w:val="12"/>
        <w:widowControl/>
        <w:spacing w:before="75" w:beforeAutospacing="0" w:after="75" w:afterAutospacing="0" w:line="435" w:lineRule="atLeast"/>
        <w:ind w:firstLine="480"/>
        <w:rPr>
          <w:rFonts w:ascii="宋体" w:hAnsi="宋体" w:cs="宋体"/>
          <w:color w:val="auto"/>
          <w:sz w:val="21"/>
          <w:szCs w:val="21"/>
          <w:highlight w:val="none"/>
        </w:rPr>
      </w:pPr>
      <w:r>
        <w:rPr>
          <w:rFonts w:hint="eastAsia" w:ascii="宋体" w:hAnsi="宋体" w:cs="宋体"/>
          <w:color w:val="auto"/>
          <w:sz w:val="21"/>
          <w:szCs w:val="21"/>
          <w:highlight w:val="none"/>
        </w:rPr>
        <w:t>第二章 竞争性磋商须知</w:t>
      </w:r>
    </w:p>
    <w:p>
      <w:pPr>
        <w:pStyle w:val="12"/>
        <w:widowControl/>
        <w:spacing w:before="75" w:beforeAutospacing="0" w:after="75" w:afterAutospacing="0" w:line="435" w:lineRule="atLeast"/>
        <w:ind w:firstLine="480"/>
        <w:rPr>
          <w:rFonts w:ascii="宋体" w:hAnsi="宋体" w:cs="宋体"/>
          <w:color w:val="auto"/>
          <w:sz w:val="21"/>
          <w:szCs w:val="21"/>
          <w:highlight w:val="none"/>
        </w:rPr>
      </w:pPr>
      <w:r>
        <w:rPr>
          <w:rFonts w:hint="eastAsia" w:ascii="宋体" w:hAnsi="宋体" w:cs="宋体"/>
          <w:color w:val="auto"/>
          <w:sz w:val="21"/>
          <w:szCs w:val="21"/>
          <w:highlight w:val="none"/>
        </w:rPr>
        <w:t>第三章 采购内容及要求</w:t>
      </w:r>
    </w:p>
    <w:p>
      <w:pPr>
        <w:pStyle w:val="12"/>
        <w:widowControl/>
        <w:spacing w:before="75" w:beforeAutospacing="0" w:after="75" w:afterAutospacing="0" w:line="435" w:lineRule="atLeast"/>
        <w:ind w:firstLine="480"/>
        <w:rPr>
          <w:rFonts w:ascii="宋体" w:hAnsi="宋体" w:cs="宋体"/>
          <w:color w:val="auto"/>
          <w:sz w:val="21"/>
          <w:szCs w:val="21"/>
          <w:highlight w:val="none"/>
        </w:rPr>
      </w:pPr>
      <w:r>
        <w:rPr>
          <w:rFonts w:hint="eastAsia" w:ascii="宋体" w:hAnsi="宋体" w:cs="宋体"/>
          <w:color w:val="auto"/>
          <w:sz w:val="21"/>
          <w:szCs w:val="21"/>
          <w:highlight w:val="none"/>
        </w:rPr>
        <w:t>第四章 合同主要条款及格式</w:t>
      </w:r>
    </w:p>
    <w:p>
      <w:pPr>
        <w:pStyle w:val="12"/>
        <w:widowControl/>
        <w:spacing w:before="75" w:beforeAutospacing="0" w:after="75" w:afterAutospacing="0" w:line="435" w:lineRule="atLeast"/>
        <w:ind w:firstLine="480"/>
        <w:rPr>
          <w:rFonts w:ascii="宋体" w:hAnsi="宋体" w:cs="宋体"/>
          <w:color w:val="auto"/>
          <w:sz w:val="21"/>
          <w:szCs w:val="21"/>
          <w:highlight w:val="none"/>
        </w:rPr>
      </w:pPr>
      <w:r>
        <w:rPr>
          <w:rFonts w:hint="eastAsia" w:ascii="宋体" w:hAnsi="宋体" w:cs="宋体"/>
          <w:color w:val="auto"/>
          <w:sz w:val="21"/>
          <w:szCs w:val="21"/>
          <w:highlight w:val="none"/>
        </w:rPr>
        <w:t>第五章 首次响应文件格式</w:t>
      </w:r>
    </w:p>
    <w:p>
      <w:pPr>
        <w:pStyle w:val="12"/>
        <w:widowControl/>
        <w:spacing w:before="75" w:beforeAutospacing="0" w:after="75" w:afterAutospacing="0" w:line="435" w:lineRule="atLeast"/>
        <w:ind w:firstLine="480"/>
        <w:rPr>
          <w:rFonts w:ascii="宋体" w:hAnsi="宋体" w:cs="宋体"/>
          <w:color w:val="auto"/>
          <w:sz w:val="21"/>
          <w:szCs w:val="21"/>
          <w:highlight w:val="none"/>
        </w:rPr>
      </w:pPr>
      <w:r>
        <w:rPr>
          <w:rFonts w:hint="eastAsia" w:ascii="宋体" w:hAnsi="宋体" w:cs="宋体"/>
          <w:color w:val="auto"/>
          <w:sz w:val="21"/>
          <w:szCs w:val="21"/>
          <w:highlight w:val="none"/>
        </w:rPr>
        <w:t>5.2除上述内容以外，采购人、采购代理机构或者磋商小组在采购过程期间对磋商文件所作的澄清、修改或补充，均构成磋商文件的组成部分，对采购人和供应商具有约束力。</w:t>
      </w:r>
    </w:p>
    <w:p>
      <w:pPr>
        <w:pStyle w:val="12"/>
        <w:widowControl/>
        <w:spacing w:before="75" w:beforeAutospacing="0" w:after="75" w:afterAutospacing="0" w:line="435" w:lineRule="atLeast"/>
        <w:rPr>
          <w:rFonts w:ascii="宋体" w:hAnsi="宋体" w:cs="宋体"/>
          <w:color w:val="auto"/>
          <w:sz w:val="21"/>
          <w:szCs w:val="21"/>
          <w:highlight w:val="none"/>
        </w:rPr>
      </w:pPr>
      <w:r>
        <w:rPr>
          <w:rStyle w:val="18"/>
          <w:rFonts w:hint="eastAsia" w:ascii="宋体" w:hAnsi="宋体" w:cs="宋体"/>
          <w:color w:val="auto"/>
          <w:sz w:val="21"/>
          <w:szCs w:val="21"/>
          <w:highlight w:val="none"/>
        </w:rPr>
        <w:t>6.竞争性磋商文件的澄清、补充、修改及现场考察等：</w:t>
      </w:r>
    </w:p>
    <w:p>
      <w:pPr>
        <w:pStyle w:val="12"/>
        <w:widowControl/>
        <w:spacing w:before="75" w:beforeAutospacing="0" w:after="75" w:afterAutospacing="0" w:line="435" w:lineRule="atLeast"/>
        <w:ind w:firstLine="480"/>
        <w:rPr>
          <w:rFonts w:ascii="宋体" w:hAnsi="宋体" w:cs="宋体"/>
          <w:color w:val="auto"/>
          <w:sz w:val="21"/>
          <w:szCs w:val="21"/>
          <w:highlight w:val="none"/>
        </w:rPr>
      </w:pPr>
      <w:r>
        <w:rPr>
          <w:rFonts w:hint="eastAsia" w:ascii="宋体" w:hAnsi="宋体" w:cs="宋体"/>
          <w:color w:val="auto"/>
          <w:sz w:val="21"/>
          <w:szCs w:val="21"/>
          <w:highlight w:val="none"/>
        </w:rPr>
        <w:t>6.1提交首次响应文件截止之日前，采购人、采购代理机构或者磋商小组可以对已发出的磋商文件进行必要的澄清、补充或者修改，澄清、补充或者修改的内容作为磋商文件的组成部分。澄清、补充或者修改的内容可能影响响应文件编制的，采购人、采购代理机构或者磋商小组将在提交首次响应文件截止时间5个日历日前，以书面形式通知所有获取磋商文件的潜在供应商，不足5个日历日的，采购人、采购代理机构或磋商小组将顺延提交首次响应文件的截止时间。</w:t>
      </w:r>
    </w:p>
    <w:p>
      <w:pPr>
        <w:pStyle w:val="12"/>
        <w:widowControl/>
        <w:spacing w:before="75" w:beforeAutospacing="0" w:after="75" w:afterAutospacing="0" w:line="435" w:lineRule="atLeast"/>
        <w:ind w:firstLine="480"/>
        <w:rPr>
          <w:rFonts w:ascii="宋体" w:hAnsi="宋体" w:cs="宋体"/>
          <w:color w:val="auto"/>
          <w:sz w:val="21"/>
          <w:szCs w:val="21"/>
          <w:highlight w:val="none"/>
        </w:rPr>
      </w:pPr>
      <w:r>
        <w:rPr>
          <w:rFonts w:hint="eastAsia" w:ascii="宋体" w:hAnsi="宋体" w:cs="宋体"/>
          <w:color w:val="auto"/>
          <w:sz w:val="21"/>
          <w:szCs w:val="21"/>
          <w:highlight w:val="none"/>
        </w:rPr>
        <w:t>6.2提交首次响应文件截止时间前，若采购人发布更正公告，则更正公告及其所发布的内容或信息（包括但不限于竞争性磋商文件的澄清、补充或修改等）作为磋商文件组成部分，对采购人和供应商具有约束力。更正公告作为采购人、采购代理机构或磋商小组通知所有潜在供应商的书面形式，潜在供应商务必随时关注磋商文件中载明的指定媒体，以免遗漏。</w:t>
      </w:r>
    </w:p>
    <w:p>
      <w:pPr>
        <w:pStyle w:val="12"/>
        <w:widowControl/>
        <w:spacing w:before="75" w:beforeAutospacing="0" w:after="75" w:afterAutospacing="0" w:line="435" w:lineRule="atLeast"/>
        <w:ind w:firstLine="480"/>
        <w:rPr>
          <w:rFonts w:ascii="宋体" w:hAnsi="宋体" w:cs="宋体"/>
          <w:color w:val="auto"/>
          <w:sz w:val="21"/>
          <w:szCs w:val="21"/>
          <w:highlight w:val="none"/>
        </w:rPr>
      </w:pPr>
      <w:r>
        <w:rPr>
          <w:rFonts w:hint="eastAsia" w:ascii="宋体" w:hAnsi="宋体" w:cs="宋体"/>
          <w:color w:val="auto"/>
          <w:sz w:val="21"/>
          <w:szCs w:val="21"/>
          <w:highlight w:val="none"/>
        </w:rPr>
        <w:t>6.3采购人、采购代理机构可以视采购项目的具体情况，组织供应商进行现场考察或召开磋商前答疑会，是否组织现场考察或召开磋商前答疑会详见竞争性磋商须知前附表。</w:t>
      </w:r>
    </w:p>
    <w:p>
      <w:pPr>
        <w:pStyle w:val="12"/>
        <w:widowControl/>
        <w:spacing w:before="75" w:beforeAutospacing="0" w:after="75" w:afterAutospacing="0" w:line="435" w:lineRule="atLeast"/>
        <w:rPr>
          <w:rFonts w:ascii="宋体" w:hAnsi="宋体" w:cs="宋体"/>
          <w:color w:val="auto"/>
          <w:sz w:val="21"/>
          <w:szCs w:val="21"/>
          <w:highlight w:val="none"/>
        </w:rPr>
      </w:pPr>
      <w:r>
        <w:rPr>
          <w:rFonts w:hint="eastAsia" w:ascii="宋体" w:hAnsi="宋体" w:cs="宋体"/>
          <w:color w:val="auto"/>
          <w:sz w:val="21"/>
          <w:szCs w:val="21"/>
          <w:highlight w:val="none"/>
        </w:rPr>
        <w:t> </w:t>
      </w:r>
    </w:p>
    <w:p>
      <w:pPr>
        <w:pStyle w:val="12"/>
        <w:widowControl/>
        <w:spacing w:before="75" w:beforeAutospacing="0" w:after="75" w:afterAutospacing="0" w:line="435" w:lineRule="atLeast"/>
        <w:jc w:val="center"/>
        <w:rPr>
          <w:rFonts w:ascii="宋体" w:hAnsi="宋体" w:cs="宋体"/>
          <w:color w:val="auto"/>
          <w:sz w:val="21"/>
          <w:szCs w:val="21"/>
          <w:highlight w:val="none"/>
        </w:rPr>
      </w:pPr>
      <w:r>
        <w:rPr>
          <w:rStyle w:val="18"/>
          <w:rFonts w:hint="eastAsia" w:ascii="宋体" w:hAnsi="宋体" w:cs="宋体"/>
          <w:color w:val="auto"/>
          <w:sz w:val="21"/>
          <w:szCs w:val="21"/>
          <w:highlight w:val="none"/>
        </w:rPr>
        <w:t>三、响应文件编制</w:t>
      </w:r>
    </w:p>
    <w:p>
      <w:pPr>
        <w:pStyle w:val="12"/>
        <w:widowControl/>
        <w:spacing w:before="75" w:beforeAutospacing="0" w:after="75" w:afterAutospacing="0" w:line="435" w:lineRule="atLeast"/>
        <w:ind w:firstLine="480"/>
        <w:rPr>
          <w:rFonts w:ascii="宋体" w:hAnsi="宋体" w:cs="宋体"/>
          <w:color w:val="auto"/>
          <w:sz w:val="21"/>
          <w:szCs w:val="21"/>
          <w:highlight w:val="none"/>
        </w:rPr>
      </w:pPr>
      <w:r>
        <w:rPr>
          <w:rFonts w:hint="eastAsia" w:ascii="宋体" w:hAnsi="宋体" w:cs="宋体"/>
          <w:color w:val="auto"/>
          <w:sz w:val="21"/>
          <w:szCs w:val="21"/>
          <w:highlight w:val="none"/>
        </w:rPr>
        <w:t> </w:t>
      </w:r>
    </w:p>
    <w:p>
      <w:pPr>
        <w:pStyle w:val="12"/>
        <w:widowControl/>
        <w:spacing w:before="75" w:beforeAutospacing="0" w:after="75" w:afterAutospacing="0" w:line="435" w:lineRule="atLeast"/>
        <w:rPr>
          <w:rFonts w:ascii="宋体" w:hAnsi="宋体" w:cs="宋体"/>
          <w:color w:val="auto"/>
          <w:sz w:val="21"/>
          <w:szCs w:val="21"/>
          <w:highlight w:val="none"/>
        </w:rPr>
      </w:pPr>
      <w:r>
        <w:rPr>
          <w:rStyle w:val="18"/>
          <w:rFonts w:hint="eastAsia" w:ascii="宋体" w:hAnsi="宋体" w:cs="宋体"/>
          <w:color w:val="auto"/>
          <w:sz w:val="21"/>
          <w:szCs w:val="21"/>
          <w:highlight w:val="none"/>
        </w:rPr>
        <w:t>7.应标要求</w:t>
      </w:r>
    </w:p>
    <w:p>
      <w:pPr>
        <w:pStyle w:val="12"/>
        <w:widowControl/>
        <w:spacing w:before="75" w:beforeAutospacing="0" w:after="75" w:afterAutospacing="0" w:line="435" w:lineRule="atLeast"/>
        <w:ind w:firstLine="480"/>
        <w:rPr>
          <w:rFonts w:ascii="宋体" w:hAnsi="宋体" w:cs="宋体"/>
          <w:color w:val="auto"/>
          <w:sz w:val="21"/>
          <w:szCs w:val="21"/>
          <w:highlight w:val="none"/>
        </w:rPr>
      </w:pPr>
      <w:r>
        <w:rPr>
          <w:rFonts w:hint="eastAsia" w:ascii="宋体" w:hAnsi="宋体" w:cs="宋体"/>
          <w:color w:val="auto"/>
          <w:sz w:val="21"/>
          <w:szCs w:val="21"/>
          <w:highlight w:val="none"/>
        </w:rPr>
        <w:t>7.1供应商可按照采购包号，对竞争性磋商文件中载明的全部或部分采购包进行响应。对于能够详细列明采购标的技术、服务要求的采购项目，供应商响应时，对同一个采购包内所有的采购内容和要求必须进行完整响应，否则其相应采购包的响应文件将被否决。</w:t>
      </w:r>
    </w:p>
    <w:p>
      <w:pPr>
        <w:pStyle w:val="12"/>
        <w:widowControl/>
        <w:spacing w:before="75" w:beforeAutospacing="0" w:after="75" w:afterAutospacing="0" w:line="435" w:lineRule="atLeast"/>
        <w:ind w:firstLine="480"/>
        <w:rPr>
          <w:rFonts w:ascii="宋体" w:hAnsi="宋体" w:cs="宋体"/>
          <w:color w:val="auto"/>
          <w:sz w:val="21"/>
          <w:szCs w:val="21"/>
          <w:highlight w:val="none"/>
        </w:rPr>
      </w:pPr>
      <w:r>
        <w:rPr>
          <w:rFonts w:hint="eastAsia" w:ascii="宋体" w:hAnsi="宋体" w:cs="宋体"/>
          <w:color w:val="auto"/>
          <w:sz w:val="21"/>
          <w:szCs w:val="21"/>
          <w:highlight w:val="none"/>
        </w:rPr>
        <w:t>7.2供应商代表在同一个合同项下只能接受一个供应商的委托参加响应磋商，否则其响应文件将被否决。</w:t>
      </w:r>
    </w:p>
    <w:p>
      <w:pPr>
        <w:pStyle w:val="12"/>
        <w:widowControl/>
        <w:spacing w:before="75" w:beforeAutospacing="0" w:after="75" w:afterAutospacing="0" w:line="435" w:lineRule="atLeast"/>
        <w:ind w:firstLine="480"/>
        <w:rPr>
          <w:rFonts w:ascii="宋体" w:hAnsi="宋体" w:cs="宋体"/>
          <w:color w:val="auto"/>
          <w:sz w:val="21"/>
          <w:szCs w:val="21"/>
          <w:highlight w:val="none"/>
        </w:rPr>
      </w:pPr>
      <w:r>
        <w:rPr>
          <w:rFonts w:hint="eastAsia" w:ascii="宋体" w:hAnsi="宋体" w:cs="宋体"/>
          <w:color w:val="auto"/>
          <w:sz w:val="21"/>
          <w:szCs w:val="21"/>
          <w:highlight w:val="none"/>
        </w:rPr>
        <w:t>7.3供应商应仔细阅读磋商文件的所有内容和要求，按磋商文件的规定提供响应文件，并对其所提供的全部资料、承诺和声明的真实性、合法性和准确性负责。</w:t>
      </w:r>
    </w:p>
    <w:p>
      <w:pPr>
        <w:pStyle w:val="12"/>
        <w:widowControl/>
        <w:spacing w:before="75" w:beforeAutospacing="0" w:after="75" w:afterAutospacing="0" w:line="435" w:lineRule="atLeast"/>
        <w:ind w:firstLine="480"/>
        <w:rPr>
          <w:rFonts w:ascii="宋体" w:hAnsi="宋体" w:cs="宋体"/>
          <w:color w:val="auto"/>
          <w:sz w:val="21"/>
          <w:szCs w:val="21"/>
          <w:highlight w:val="none"/>
        </w:rPr>
      </w:pPr>
      <w:r>
        <w:rPr>
          <w:rFonts w:hint="eastAsia" w:ascii="宋体" w:hAnsi="宋体" w:cs="宋体"/>
          <w:color w:val="auto"/>
          <w:sz w:val="21"/>
          <w:szCs w:val="21"/>
          <w:highlight w:val="none"/>
        </w:rPr>
        <w:t>7.4除非竞争性磋商须知前附表另有规定外，供应商提供的响应文件应使用中文文本，若有不同文字文本，以中文文本为准。</w:t>
      </w:r>
    </w:p>
    <w:p>
      <w:pPr>
        <w:pStyle w:val="12"/>
        <w:widowControl/>
        <w:spacing w:before="75" w:beforeAutospacing="0" w:after="75" w:afterAutospacing="0" w:line="435" w:lineRule="atLeast"/>
        <w:ind w:firstLine="480"/>
        <w:rPr>
          <w:rFonts w:ascii="宋体" w:hAnsi="宋体" w:cs="宋体"/>
          <w:color w:val="auto"/>
          <w:sz w:val="21"/>
          <w:szCs w:val="21"/>
          <w:highlight w:val="none"/>
        </w:rPr>
      </w:pPr>
      <w:r>
        <w:rPr>
          <w:rFonts w:hint="eastAsia" w:ascii="宋体" w:hAnsi="宋体" w:cs="宋体"/>
          <w:color w:val="auto"/>
          <w:sz w:val="21"/>
          <w:szCs w:val="21"/>
          <w:highlight w:val="none"/>
        </w:rPr>
        <w:t>7.5响应文件提供的全部资料中，若原件属于非中文描述，应提供具有翻译资质的机构翻译的中文译本。前述翻译机构应为中国翻译协会成员单位，翻译的中文译本应由翻译人员签名并加盖翻译机构公章，同时提供翻译人员翻译资格证书。中文译本、翻译机构的成员单位证书及翻译人员的资格证书可为复印件。</w:t>
      </w:r>
    </w:p>
    <w:p>
      <w:pPr>
        <w:pStyle w:val="12"/>
        <w:widowControl/>
        <w:spacing w:before="75" w:beforeAutospacing="0" w:after="75" w:afterAutospacing="0" w:line="435" w:lineRule="atLeast"/>
        <w:ind w:firstLine="480"/>
        <w:rPr>
          <w:rFonts w:ascii="宋体" w:hAnsi="宋体" w:cs="宋体"/>
          <w:color w:val="auto"/>
          <w:sz w:val="21"/>
          <w:szCs w:val="21"/>
          <w:highlight w:val="none"/>
        </w:rPr>
      </w:pPr>
      <w:r>
        <w:rPr>
          <w:rFonts w:hint="eastAsia" w:ascii="宋体" w:hAnsi="宋体" w:cs="宋体"/>
          <w:color w:val="auto"/>
          <w:sz w:val="21"/>
          <w:szCs w:val="21"/>
          <w:highlight w:val="none"/>
        </w:rPr>
        <w:t>7.6除非竞争性磋商须知前附表另有规定外，供应商承诺的报价应以人民币进行报价，合同实施结算时亦以人民币支付；所有计量均采用中华人民共和国法定计量单位。</w:t>
      </w:r>
    </w:p>
    <w:p>
      <w:pPr>
        <w:pStyle w:val="12"/>
        <w:widowControl/>
        <w:spacing w:before="75" w:beforeAutospacing="0" w:after="75" w:afterAutospacing="0" w:line="435" w:lineRule="atLeast"/>
        <w:rPr>
          <w:rFonts w:ascii="宋体" w:hAnsi="宋体" w:cs="宋体"/>
          <w:color w:val="auto"/>
          <w:sz w:val="21"/>
          <w:szCs w:val="21"/>
          <w:highlight w:val="none"/>
        </w:rPr>
      </w:pPr>
      <w:r>
        <w:rPr>
          <w:rStyle w:val="18"/>
          <w:rFonts w:hint="eastAsia" w:ascii="宋体" w:hAnsi="宋体" w:cs="宋体"/>
          <w:color w:val="auto"/>
          <w:sz w:val="21"/>
          <w:szCs w:val="21"/>
          <w:highlight w:val="none"/>
        </w:rPr>
        <w:t>8.首次响应文件的组成：</w:t>
      </w:r>
    </w:p>
    <w:p>
      <w:pPr>
        <w:pStyle w:val="12"/>
        <w:widowControl/>
        <w:spacing w:before="75" w:beforeAutospacing="0" w:after="75" w:afterAutospacing="0" w:line="435" w:lineRule="atLeast"/>
        <w:ind w:firstLine="480"/>
        <w:rPr>
          <w:rFonts w:ascii="宋体" w:hAnsi="宋体" w:cs="宋体"/>
          <w:color w:val="auto"/>
          <w:sz w:val="21"/>
          <w:szCs w:val="21"/>
          <w:highlight w:val="none"/>
        </w:rPr>
      </w:pPr>
      <w:r>
        <w:rPr>
          <w:rFonts w:hint="eastAsia" w:ascii="宋体" w:hAnsi="宋体" w:cs="宋体"/>
          <w:color w:val="auto"/>
          <w:sz w:val="21"/>
          <w:szCs w:val="21"/>
          <w:highlight w:val="none"/>
        </w:rPr>
        <w:t>8.1首次响应文件包括但不限于下列部分：</w:t>
      </w:r>
    </w:p>
    <w:p>
      <w:pPr>
        <w:pStyle w:val="12"/>
        <w:widowControl/>
        <w:spacing w:before="75" w:beforeAutospacing="0" w:after="75" w:afterAutospacing="0" w:line="435" w:lineRule="atLeast"/>
        <w:ind w:firstLine="480"/>
        <w:rPr>
          <w:rFonts w:ascii="宋体" w:hAnsi="宋体" w:cs="宋体"/>
          <w:color w:val="auto"/>
          <w:sz w:val="21"/>
          <w:szCs w:val="21"/>
          <w:highlight w:val="none"/>
        </w:rPr>
      </w:pPr>
      <w:r>
        <w:rPr>
          <w:rFonts w:hint="eastAsia" w:ascii="宋体" w:hAnsi="宋体" w:cs="宋体"/>
          <w:color w:val="auto"/>
          <w:sz w:val="21"/>
          <w:szCs w:val="21"/>
          <w:highlight w:val="none"/>
        </w:rPr>
        <w:t>（1）响应函</w:t>
      </w:r>
    </w:p>
    <w:p>
      <w:pPr>
        <w:pStyle w:val="12"/>
        <w:widowControl/>
        <w:spacing w:before="75" w:beforeAutospacing="0" w:after="75" w:afterAutospacing="0" w:line="435" w:lineRule="atLeast"/>
        <w:ind w:firstLine="480"/>
        <w:rPr>
          <w:rFonts w:ascii="宋体" w:hAnsi="宋体" w:cs="宋体"/>
          <w:color w:val="auto"/>
          <w:sz w:val="21"/>
          <w:szCs w:val="21"/>
          <w:highlight w:val="none"/>
        </w:rPr>
      </w:pPr>
      <w:r>
        <w:rPr>
          <w:rFonts w:hint="eastAsia" w:ascii="宋体" w:hAnsi="宋体" w:cs="宋体"/>
          <w:color w:val="auto"/>
          <w:sz w:val="21"/>
          <w:szCs w:val="21"/>
          <w:highlight w:val="none"/>
        </w:rPr>
        <w:t>（2）报价一览表（含详细报价书）</w:t>
      </w:r>
    </w:p>
    <w:p>
      <w:pPr>
        <w:pStyle w:val="12"/>
        <w:widowControl/>
        <w:spacing w:before="75" w:beforeAutospacing="0" w:after="75" w:afterAutospacing="0" w:line="435" w:lineRule="atLeast"/>
        <w:ind w:firstLine="480"/>
        <w:rPr>
          <w:rFonts w:ascii="宋体" w:hAnsi="宋体" w:cs="宋体"/>
          <w:color w:val="auto"/>
          <w:sz w:val="21"/>
          <w:szCs w:val="21"/>
          <w:highlight w:val="none"/>
        </w:rPr>
      </w:pPr>
      <w:r>
        <w:rPr>
          <w:rFonts w:hint="eastAsia" w:ascii="宋体" w:hAnsi="宋体" w:cs="宋体"/>
          <w:color w:val="auto"/>
          <w:sz w:val="21"/>
          <w:szCs w:val="21"/>
          <w:highlight w:val="none"/>
        </w:rPr>
        <w:t>（3）资格证明文件</w:t>
      </w:r>
    </w:p>
    <w:p>
      <w:pPr>
        <w:pStyle w:val="12"/>
        <w:widowControl/>
        <w:spacing w:before="75" w:beforeAutospacing="0" w:after="75" w:afterAutospacing="0" w:line="435" w:lineRule="atLeast"/>
        <w:ind w:firstLine="480"/>
        <w:rPr>
          <w:rFonts w:ascii="宋体" w:hAnsi="宋体" w:cs="宋体"/>
          <w:color w:val="auto"/>
          <w:sz w:val="21"/>
          <w:szCs w:val="21"/>
          <w:highlight w:val="none"/>
        </w:rPr>
      </w:pPr>
      <w:r>
        <w:rPr>
          <w:rFonts w:hint="eastAsia" w:ascii="宋体" w:hAnsi="宋体" w:cs="宋体"/>
          <w:color w:val="auto"/>
          <w:sz w:val="21"/>
          <w:szCs w:val="21"/>
          <w:highlight w:val="none"/>
        </w:rPr>
        <w:t>（4）磋商保证金凭证</w:t>
      </w:r>
    </w:p>
    <w:p>
      <w:pPr>
        <w:pStyle w:val="12"/>
        <w:widowControl/>
        <w:spacing w:before="75" w:beforeAutospacing="0" w:after="75" w:afterAutospacing="0" w:line="435" w:lineRule="atLeast"/>
        <w:ind w:firstLine="480"/>
        <w:rPr>
          <w:rFonts w:ascii="宋体" w:hAnsi="宋体" w:cs="宋体"/>
          <w:color w:val="auto"/>
          <w:sz w:val="21"/>
          <w:szCs w:val="21"/>
          <w:highlight w:val="none"/>
        </w:rPr>
      </w:pPr>
      <w:r>
        <w:rPr>
          <w:rFonts w:hint="eastAsia" w:ascii="宋体" w:hAnsi="宋体" w:cs="宋体"/>
          <w:color w:val="auto"/>
          <w:sz w:val="21"/>
          <w:szCs w:val="21"/>
          <w:highlight w:val="none"/>
        </w:rPr>
        <w:t>（5）技术和商务偏离表</w:t>
      </w:r>
    </w:p>
    <w:p>
      <w:pPr>
        <w:pStyle w:val="12"/>
        <w:widowControl/>
        <w:spacing w:before="75" w:beforeAutospacing="0" w:after="75" w:afterAutospacing="0" w:line="435" w:lineRule="atLeast"/>
        <w:ind w:firstLine="480"/>
        <w:rPr>
          <w:rFonts w:ascii="宋体" w:hAnsi="宋体" w:cs="宋体"/>
          <w:color w:val="auto"/>
          <w:sz w:val="21"/>
          <w:szCs w:val="21"/>
          <w:highlight w:val="none"/>
        </w:rPr>
      </w:pPr>
      <w:r>
        <w:rPr>
          <w:rFonts w:hint="eastAsia" w:ascii="宋体" w:hAnsi="宋体" w:cs="宋体"/>
          <w:color w:val="auto"/>
          <w:sz w:val="21"/>
          <w:szCs w:val="21"/>
          <w:highlight w:val="none"/>
        </w:rPr>
        <w:t>（6）相关技术、商务、服务响应承诺及资料</w:t>
      </w:r>
    </w:p>
    <w:p>
      <w:pPr>
        <w:pStyle w:val="12"/>
        <w:widowControl/>
        <w:spacing w:before="75" w:beforeAutospacing="0" w:after="75" w:afterAutospacing="0" w:line="435" w:lineRule="atLeast"/>
        <w:ind w:firstLine="480"/>
        <w:rPr>
          <w:rFonts w:ascii="宋体" w:hAnsi="宋体" w:cs="宋体"/>
          <w:color w:val="auto"/>
          <w:sz w:val="21"/>
          <w:szCs w:val="21"/>
          <w:highlight w:val="none"/>
        </w:rPr>
      </w:pPr>
      <w:r>
        <w:rPr>
          <w:rFonts w:hint="eastAsia" w:ascii="宋体" w:hAnsi="宋体" w:cs="宋体"/>
          <w:color w:val="auto"/>
          <w:sz w:val="21"/>
          <w:szCs w:val="21"/>
          <w:highlight w:val="none"/>
        </w:rPr>
        <w:t>（7）供应商提交的其他资料</w:t>
      </w:r>
    </w:p>
    <w:p>
      <w:pPr>
        <w:pStyle w:val="12"/>
        <w:widowControl/>
        <w:spacing w:before="75" w:beforeAutospacing="0" w:after="75" w:afterAutospacing="0" w:line="435" w:lineRule="atLeast"/>
        <w:ind w:firstLine="480"/>
        <w:rPr>
          <w:rFonts w:ascii="宋体" w:hAnsi="宋体" w:cs="宋体"/>
          <w:color w:val="auto"/>
          <w:sz w:val="21"/>
          <w:szCs w:val="21"/>
          <w:highlight w:val="none"/>
        </w:rPr>
      </w:pPr>
      <w:r>
        <w:rPr>
          <w:rFonts w:hint="eastAsia" w:ascii="宋体" w:hAnsi="宋体" w:cs="宋体"/>
          <w:color w:val="auto"/>
          <w:sz w:val="21"/>
          <w:szCs w:val="21"/>
          <w:highlight w:val="none"/>
        </w:rPr>
        <w:t>（8）要求作为响应文件组成部分的其他内容（若有）</w:t>
      </w:r>
    </w:p>
    <w:p>
      <w:pPr>
        <w:pStyle w:val="12"/>
        <w:widowControl/>
        <w:spacing w:before="75" w:beforeAutospacing="0" w:after="75" w:afterAutospacing="0" w:line="435" w:lineRule="atLeast"/>
        <w:rPr>
          <w:rFonts w:ascii="宋体" w:hAnsi="宋体" w:cs="宋体"/>
          <w:color w:val="auto"/>
          <w:sz w:val="21"/>
          <w:szCs w:val="21"/>
          <w:highlight w:val="none"/>
        </w:rPr>
      </w:pPr>
      <w:r>
        <w:rPr>
          <w:rStyle w:val="18"/>
          <w:rFonts w:hint="eastAsia" w:ascii="宋体" w:hAnsi="宋体" w:cs="宋体"/>
          <w:color w:val="auto"/>
          <w:sz w:val="21"/>
          <w:szCs w:val="21"/>
          <w:highlight w:val="none"/>
        </w:rPr>
        <w:t>9.响应文件有效期：</w:t>
      </w:r>
    </w:p>
    <w:p>
      <w:pPr>
        <w:pStyle w:val="12"/>
        <w:widowControl/>
        <w:spacing w:before="75" w:beforeAutospacing="0" w:after="75" w:afterAutospacing="0" w:line="435" w:lineRule="atLeast"/>
        <w:ind w:firstLine="480"/>
        <w:rPr>
          <w:rFonts w:ascii="宋体" w:hAnsi="宋体" w:cs="宋体"/>
          <w:color w:val="auto"/>
          <w:sz w:val="21"/>
          <w:szCs w:val="21"/>
          <w:highlight w:val="none"/>
        </w:rPr>
      </w:pPr>
      <w:r>
        <w:rPr>
          <w:rFonts w:hint="eastAsia" w:ascii="宋体" w:hAnsi="宋体" w:cs="宋体"/>
          <w:color w:val="auto"/>
          <w:sz w:val="21"/>
          <w:szCs w:val="21"/>
          <w:highlight w:val="none"/>
        </w:rPr>
        <w:t>9.1响应文件有效期见竞争性磋商须知前附表，响应文件承诺的有效期不得少于磋商文件载明的有效期，</w:t>
      </w:r>
      <w:r>
        <w:rPr>
          <w:rStyle w:val="18"/>
          <w:rFonts w:hint="eastAsia" w:ascii="宋体" w:hAnsi="宋体" w:cs="宋体"/>
          <w:color w:val="auto"/>
          <w:sz w:val="21"/>
          <w:szCs w:val="21"/>
          <w:highlight w:val="none"/>
        </w:rPr>
        <w:t>否则其响应文件将被否决。</w:t>
      </w:r>
    </w:p>
    <w:p>
      <w:pPr>
        <w:pStyle w:val="12"/>
        <w:widowControl/>
        <w:spacing w:before="75" w:beforeAutospacing="0" w:after="75" w:afterAutospacing="0" w:line="435" w:lineRule="atLeast"/>
        <w:ind w:firstLine="480"/>
        <w:rPr>
          <w:rFonts w:ascii="宋体" w:hAnsi="宋体" w:cs="宋体"/>
          <w:color w:val="auto"/>
          <w:sz w:val="21"/>
          <w:szCs w:val="21"/>
          <w:highlight w:val="none"/>
        </w:rPr>
      </w:pPr>
      <w:r>
        <w:rPr>
          <w:rFonts w:hint="eastAsia" w:ascii="宋体" w:hAnsi="宋体" w:cs="宋体"/>
          <w:color w:val="auto"/>
          <w:sz w:val="21"/>
          <w:szCs w:val="21"/>
          <w:highlight w:val="none"/>
        </w:rPr>
        <w:t>9.2特殊情况下采购人可于响应文件有效期满之前要求供应商同意延长有效期，要求与答复均应为书面形式。供应商可以拒绝延长有效期，且其磋商保证金可以退还，但其供应商资格将被取消。同意延长有效期的供应商，不需要也不允许修改其响应文件及磋商承诺，但将要求其相应延长磋商保证金有效期，有关退还和不予退还磋商保证金的规定在有效期延长期内继续有效。</w:t>
      </w:r>
    </w:p>
    <w:p>
      <w:pPr>
        <w:pStyle w:val="12"/>
        <w:widowControl/>
        <w:spacing w:before="75" w:beforeAutospacing="0" w:after="75" w:afterAutospacing="0" w:line="435" w:lineRule="atLeast"/>
        <w:rPr>
          <w:rFonts w:ascii="宋体" w:hAnsi="宋体" w:cs="宋体"/>
          <w:color w:val="auto"/>
          <w:sz w:val="21"/>
          <w:szCs w:val="21"/>
          <w:highlight w:val="none"/>
        </w:rPr>
      </w:pPr>
      <w:r>
        <w:rPr>
          <w:rStyle w:val="18"/>
          <w:rFonts w:hint="eastAsia" w:ascii="宋体" w:hAnsi="宋体" w:cs="宋体"/>
          <w:color w:val="auto"/>
          <w:sz w:val="21"/>
          <w:szCs w:val="21"/>
          <w:highlight w:val="none"/>
        </w:rPr>
        <w:t>10.磋商保证金：</w:t>
      </w:r>
    </w:p>
    <w:p>
      <w:pPr>
        <w:pStyle w:val="12"/>
        <w:widowControl/>
        <w:spacing w:before="75" w:beforeAutospacing="0" w:after="75" w:afterAutospacing="0" w:line="435" w:lineRule="atLeast"/>
        <w:rPr>
          <w:rFonts w:ascii="宋体" w:hAnsi="宋体" w:cs="宋体"/>
          <w:color w:val="auto"/>
          <w:sz w:val="21"/>
          <w:szCs w:val="21"/>
          <w:highlight w:val="none"/>
        </w:rPr>
      </w:pPr>
      <w:r>
        <w:rPr>
          <w:rFonts w:hint="eastAsia" w:ascii="宋体" w:hAnsi="宋体" w:cs="宋体"/>
          <w:color w:val="auto"/>
          <w:sz w:val="21"/>
          <w:szCs w:val="21"/>
          <w:highlight w:val="none"/>
        </w:rPr>
        <w:t>  10.1供应商应在参加竞争性磋商之前按竞争性磋商须知前附表规定的金额、形式等要求提交磋商保证金。磋商文件若接受联合体形式且供应商为联合体的，则可以由联合体中的牵头方提交磋商保证金，其提交的磋商保证金对联合体各方均具有约束力。</w:t>
      </w:r>
    </w:p>
    <w:p>
      <w:pPr>
        <w:pStyle w:val="12"/>
        <w:widowControl/>
        <w:spacing w:before="75" w:beforeAutospacing="0" w:after="75" w:afterAutospacing="0" w:line="435" w:lineRule="atLeast"/>
        <w:rPr>
          <w:rFonts w:ascii="宋体" w:hAnsi="宋体" w:cs="宋体"/>
          <w:color w:val="auto"/>
          <w:sz w:val="21"/>
          <w:szCs w:val="21"/>
          <w:highlight w:val="none"/>
        </w:rPr>
      </w:pPr>
      <w:r>
        <w:rPr>
          <w:rFonts w:hint="eastAsia" w:ascii="宋体" w:hAnsi="宋体" w:cs="宋体"/>
          <w:color w:val="auto"/>
          <w:sz w:val="21"/>
          <w:szCs w:val="21"/>
          <w:highlight w:val="none"/>
        </w:rPr>
        <w:t>  10.2磋商保证金为响应文件的重要组成部分之一。磋商保证金用于保护本次磋商活动免受供应商的违约或失信行为而引起的风险。未按规定提交磋商保证金的，</w:t>
      </w:r>
      <w:r>
        <w:rPr>
          <w:rStyle w:val="18"/>
          <w:rFonts w:hint="eastAsia" w:ascii="宋体" w:hAnsi="宋体" w:cs="宋体"/>
          <w:color w:val="auto"/>
          <w:sz w:val="21"/>
          <w:szCs w:val="21"/>
          <w:highlight w:val="none"/>
        </w:rPr>
        <w:t>其响应文件将被否决。</w:t>
      </w:r>
    </w:p>
    <w:p>
      <w:pPr>
        <w:pStyle w:val="12"/>
        <w:widowControl/>
        <w:spacing w:before="75" w:beforeAutospacing="0" w:after="75" w:afterAutospacing="0" w:line="435" w:lineRule="atLeast"/>
        <w:ind w:firstLine="480"/>
        <w:rPr>
          <w:rFonts w:ascii="宋体" w:hAnsi="宋体" w:cs="宋体"/>
          <w:color w:val="auto"/>
          <w:sz w:val="21"/>
          <w:szCs w:val="21"/>
          <w:highlight w:val="none"/>
        </w:rPr>
      </w:pPr>
      <w:r>
        <w:rPr>
          <w:rFonts w:hint="eastAsia" w:ascii="宋体" w:hAnsi="宋体" w:cs="宋体"/>
          <w:color w:val="auto"/>
          <w:sz w:val="21"/>
          <w:szCs w:val="21"/>
          <w:highlight w:val="none"/>
        </w:rPr>
        <w:t>10.3磋商保证金退还：</w:t>
      </w:r>
    </w:p>
    <w:p>
      <w:pPr>
        <w:pStyle w:val="12"/>
        <w:widowControl/>
        <w:spacing w:before="75" w:beforeAutospacing="0" w:after="75" w:afterAutospacing="0" w:line="435" w:lineRule="atLeast"/>
        <w:ind w:firstLine="480"/>
        <w:rPr>
          <w:rFonts w:ascii="宋体" w:hAnsi="宋体" w:cs="宋体"/>
          <w:color w:val="auto"/>
          <w:sz w:val="21"/>
          <w:szCs w:val="21"/>
          <w:highlight w:val="none"/>
        </w:rPr>
      </w:pPr>
      <w:r>
        <w:rPr>
          <w:rFonts w:hint="eastAsia" w:ascii="宋体" w:hAnsi="宋体" w:cs="宋体"/>
          <w:color w:val="auto"/>
          <w:sz w:val="21"/>
          <w:szCs w:val="21"/>
          <w:highlight w:val="none"/>
        </w:rPr>
        <w:t>10.3.1采购人或者采购代理机构将在采购活动结束后及时退还供应商的保证金，但因供应商自身原因导致无法及时退还的除外（比如：采购人委托代理机构组织磋商采购，成交的供应商未向采购代理机构出具已签订合同证明材料，造成磋商保证金退还时间延误的结果，由成交的供应商自行承担和谅解等）。未成交人的保证金将在成交通知书发出后5个工作日内退还，成交人的保证金将在采购合同签订后5个工作日内退还。成交人需将与采购人签订的合同原件递送或邮寄至我司，以便我司退保工作的顺利进行（未按以上要求申请办理，或合同邮寄过程丢失，责任供应商自负）。关于磋商保证金退还的其它要求见竞争性磋商须知前附表。</w:t>
      </w:r>
    </w:p>
    <w:p>
      <w:pPr>
        <w:pStyle w:val="12"/>
        <w:widowControl/>
        <w:spacing w:before="75" w:beforeAutospacing="0" w:after="75" w:afterAutospacing="0" w:line="435" w:lineRule="atLeast"/>
        <w:ind w:firstLine="480"/>
        <w:rPr>
          <w:rFonts w:ascii="宋体" w:hAnsi="宋体" w:cs="宋体"/>
          <w:color w:val="auto"/>
          <w:sz w:val="21"/>
          <w:szCs w:val="21"/>
          <w:highlight w:val="none"/>
        </w:rPr>
      </w:pPr>
      <w:r>
        <w:rPr>
          <w:rFonts w:hint="eastAsia" w:ascii="宋体" w:hAnsi="宋体" w:cs="宋体"/>
          <w:color w:val="auto"/>
          <w:sz w:val="21"/>
          <w:szCs w:val="21"/>
          <w:highlight w:val="none"/>
        </w:rPr>
        <w:t>10.3.2质疑或投诉涉及的供应商，若其磋商保证金尚未退还，则待质疑或投诉处理完毕后，且没有发生法律法规或者磋商文件规定的不予退还磋商保证金情形，则由采购人或采购代理机构给予及时退还。</w:t>
      </w:r>
    </w:p>
    <w:p>
      <w:pPr>
        <w:pStyle w:val="12"/>
        <w:widowControl/>
        <w:spacing w:before="75" w:beforeAutospacing="0" w:after="75" w:afterAutospacing="0" w:line="435" w:lineRule="atLeast"/>
        <w:ind w:firstLine="480"/>
        <w:rPr>
          <w:rFonts w:ascii="宋体" w:hAnsi="宋体" w:cs="宋体"/>
          <w:color w:val="auto"/>
          <w:sz w:val="21"/>
          <w:szCs w:val="21"/>
          <w:highlight w:val="none"/>
        </w:rPr>
      </w:pPr>
      <w:r>
        <w:rPr>
          <w:rFonts w:hint="eastAsia" w:ascii="宋体" w:hAnsi="宋体" w:cs="宋体"/>
          <w:color w:val="auto"/>
          <w:sz w:val="21"/>
          <w:szCs w:val="21"/>
          <w:highlight w:val="none"/>
        </w:rPr>
        <w:t>10.4如果供应商发生以下任何一种情况时，其磋商保证金将被不予退还：</w:t>
      </w:r>
    </w:p>
    <w:p>
      <w:pPr>
        <w:pStyle w:val="12"/>
        <w:widowControl/>
        <w:spacing w:before="75" w:beforeAutospacing="0" w:after="75" w:afterAutospacing="0" w:line="435" w:lineRule="atLeast"/>
        <w:ind w:firstLine="480"/>
        <w:rPr>
          <w:rFonts w:ascii="宋体" w:hAnsi="宋体" w:cs="宋体"/>
          <w:color w:val="auto"/>
          <w:sz w:val="21"/>
          <w:szCs w:val="21"/>
          <w:highlight w:val="none"/>
        </w:rPr>
      </w:pPr>
      <w:r>
        <w:rPr>
          <w:rFonts w:hint="eastAsia" w:ascii="宋体" w:hAnsi="宋体" w:cs="宋体"/>
          <w:color w:val="auto"/>
          <w:sz w:val="21"/>
          <w:szCs w:val="21"/>
          <w:highlight w:val="none"/>
        </w:rPr>
        <w:t>(1)供应商在提交响应文件截止时间后撤回响应文件的；</w:t>
      </w:r>
    </w:p>
    <w:p>
      <w:pPr>
        <w:pStyle w:val="12"/>
        <w:widowControl/>
        <w:spacing w:before="75" w:beforeAutospacing="0" w:after="75" w:afterAutospacing="0" w:line="435" w:lineRule="atLeast"/>
        <w:ind w:firstLine="480"/>
        <w:rPr>
          <w:rFonts w:ascii="宋体" w:hAnsi="宋体" w:cs="宋体"/>
          <w:color w:val="auto"/>
          <w:sz w:val="21"/>
          <w:szCs w:val="21"/>
          <w:highlight w:val="none"/>
        </w:rPr>
      </w:pPr>
      <w:r>
        <w:rPr>
          <w:rFonts w:hint="eastAsia" w:ascii="宋体" w:hAnsi="宋体" w:cs="宋体"/>
          <w:color w:val="auto"/>
          <w:sz w:val="21"/>
          <w:szCs w:val="21"/>
          <w:highlight w:val="none"/>
        </w:rPr>
        <w:t>(2)供应商在响应文件中提供虚假材料的；</w:t>
      </w:r>
    </w:p>
    <w:p>
      <w:pPr>
        <w:pStyle w:val="12"/>
        <w:widowControl/>
        <w:spacing w:before="75" w:beforeAutospacing="0" w:after="75" w:afterAutospacing="0" w:line="435" w:lineRule="atLeast"/>
        <w:ind w:firstLine="480"/>
        <w:rPr>
          <w:rFonts w:ascii="宋体" w:hAnsi="宋体" w:cs="宋体"/>
          <w:color w:val="auto"/>
          <w:sz w:val="21"/>
          <w:szCs w:val="21"/>
          <w:highlight w:val="none"/>
        </w:rPr>
      </w:pPr>
      <w:r>
        <w:rPr>
          <w:rFonts w:hint="eastAsia" w:ascii="宋体" w:hAnsi="宋体" w:cs="宋体"/>
          <w:color w:val="auto"/>
          <w:sz w:val="21"/>
          <w:szCs w:val="21"/>
          <w:highlight w:val="none"/>
        </w:rPr>
        <w:t>(3)除因不可抗力或磋商文件认可的情形以外，成交人不与采购人签订合同的；</w:t>
      </w:r>
    </w:p>
    <w:p>
      <w:pPr>
        <w:pStyle w:val="12"/>
        <w:widowControl/>
        <w:spacing w:before="75" w:beforeAutospacing="0" w:after="75" w:afterAutospacing="0" w:line="435" w:lineRule="atLeast"/>
        <w:ind w:firstLine="480"/>
        <w:rPr>
          <w:rFonts w:ascii="宋体" w:hAnsi="宋体" w:cs="宋体"/>
          <w:color w:val="auto"/>
          <w:sz w:val="21"/>
          <w:szCs w:val="21"/>
          <w:highlight w:val="none"/>
        </w:rPr>
      </w:pPr>
      <w:r>
        <w:rPr>
          <w:rFonts w:hint="eastAsia" w:ascii="宋体" w:hAnsi="宋体" w:cs="宋体"/>
          <w:color w:val="auto"/>
          <w:sz w:val="21"/>
          <w:szCs w:val="21"/>
          <w:highlight w:val="none"/>
        </w:rPr>
        <w:t>(4)供应商与采购人、其他供应商或者采购代理机构恶意串通的；</w:t>
      </w:r>
    </w:p>
    <w:p>
      <w:pPr>
        <w:pStyle w:val="12"/>
        <w:widowControl/>
        <w:spacing w:before="75" w:beforeAutospacing="0" w:after="75" w:afterAutospacing="0" w:line="435" w:lineRule="atLeast"/>
        <w:ind w:firstLine="480"/>
        <w:rPr>
          <w:rFonts w:ascii="宋体" w:hAnsi="宋体" w:cs="宋体"/>
          <w:color w:val="auto"/>
          <w:sz w:val="21"/>
          <w:szCs w:val="21"/>
          <w:highlight w:val="none"/>
        </w:rPr>
      </w:pPr>
      <w:r>
        <w:rPr>
          <w:rFonts w:hint="eastAsia" w:ascii="宋体" w:hAnsi="宋体" w:cs="宋体"/>
          <w:color w:val="auto"/>
          <w:sz w:val="21"/>
          <w:szCs w:val="21"/>
          <w:highlight w:val="none"/>
        </w:rPr>
        <w:t>(5)供应商在提交最后报价后要求退出磋商的；</w:t>
      </w:r>
    </w:p>
    <w:p>
      <w:pPr>
        <w:pStyle w:val="12"/>
        <w:widowControl/>
        <w:spacing w:before="75" w:beforeAutospacing="0" w:after="75" w:afterAutospacing="0" w:line="435" w:lineRule="atLeast"/>
        <w:ind w:firstLine="480"/>
        <w:rPr>
          <w:rFonts w:ascii="宋体" w:hAnsi="宋体" w:cs="宋体"/>
          <w:color w:val="auto"/>
          <w:sz w:val="21"/>
          <w:szCs w:val="21"/>
          <w:highlight w:val="none"/>
        </w:rPr>
      </w:pPr>
      <w:r>
        <w:rPr>
          <w:rFonts w:hint="eastAsia" w:ascii="宋体" w:hAnsi="宋体" w:cs="宋体"/>
          <w:color w:val="auto"/>
          <w:sz w:val="21"/>
          <w:szCs w:val="21"/>
          <w:highlight w:val="none"/>
        </w:rPr>
        <w:t>(6)供应商假借以他人名义参加磋商或者以其他方式弄虚作假，骗取成交；</w:t>
      </w:r>
    </w:p>
    <w:p>
      <w:pPr>
        <w:pStyle w:val="12"/>
        <w:widowControl/>
        <w:spacing w:before="75" w:beforeAutospacing="0" w:after="75" w:afterAutospacing="0" w:line="435" w:lineRule="atLeast"/>
        <w:ind w:firstLine="480"/>
        <w:rPr>
          <w:rFonts w:ascii="宋体" w:hAnsi="宋体" w:cs="宋体"/>
          <w:color w:val="auto"/>
          <w:sz w:val="21"/>
          <w:szCs w:val="21"/>
          <w:highlight w:val="none"/>
        </w:rPr>
      </w:pPr>
      <w:r>
        <w:rPr>
          <w:rFonts w:hint="eastAsia" w:ascii="宋体" w:hAnsi="宋体" w:cs="宋体"/>
          <w:color w:val="auto"/>
          <w:sz w:val="21"/>
          <w:szCs w:val="21"/>
          <w:highlight w:val="none"/>
        </w:rPr>
        <w:t>(7)国家法律法规以及磋商文件中规定的其他磋商保证金不予退还的情形。</w:t>
      </w:r>
    </w:p>
    <w:p>
      <w:pPr>
        <w:pStyle w:val="12"/>
        <w:widowControl/>
        <w:spacing w:before="75" w:beforeAutospacing="0" w:after="75" w:afterAutospacing="0" w:line="435" w:lineRule="atLeast"/>
        <w:rPr>
          <w:rFonts w:ascii="宋体" w:hAnsi="宋体" w:cs="宋体"/>
          <w:color w:val="auto"/>
          <w:sz w:val="21"/>
          <w:szCs w:val="21"/>
          <w:highlight w:val="none"/>
        </w:rPr>
      </w:pPr>
      <w:r>
        <w:rPr>
          <w:rFonts w:hint="eastAsia" w:ascii="宋体" w:hAnsi="宋体" w:cs="宋体"/>
          <w:color w:val="auto"/>
          <w:sz w:val="21"/>
          <w:szCs w:val="21"/>
          <w:highlight w:val="none"/>
        </w:rPr>
        <w:t>    上述不予退还磋商保证金的情况不能抵偿给采购人或采购代理机构造成损失的，供应商还要承担赔偿责任。</w:t>
      </w:r>
    </w:p>
    <w:p>
      <w:pPr>
        <w:pStyle w:val="12"/>
        <w:widowControl/>
        <w:spacing w:before="75" w:beforeAutospacing="0" w:after="75" w:afterAutospacing="0" w:line="435" w:lineRule="atLeast"/>
        <w:rPr>
          <w:rFonts w:ascii="宋体" w:hAnsi="宋体" w:cs="宋体"/>
          <w:color w:val="auto"/>
          <w:sz w:val="21"/>
          <w:szCs w:val="21"/>
          <w:highlight w:val="none"/>
        </w:rPr>
      </w:pPr>
      <w:r>
        <w:rPr>
          <w:rStyle w:val="18"/>
          <w:rFonts w:hint="eastAsia" w:ascii="宋体" w:hAnsi="宋体" w:cs="宋体"/>
          <w:color w:val="auto"/>
          <w:sz w:val="21"/>
          <w:szCs w:val="21"/>
          <w:highlight w:val="none"/>
        </w:rPr>
        <w:t>11.响应文件基本编制要求：</w:t>
      </w:r>
    </w:p>
    <w:p>
      <w:pPr>
        <w:pStyle w:val="12"/>
        <w:widowControl/>
        <w:spacing w:before="75" w:beforeAutospacing="0" w:after="75" w:afterAutospacing="0" w:line="435" w:lineRule="atLeast"/>
        <w:rPr>
          <w:rFonts w:ascii="宋体" w:hAnsi="宋体" w:cs="宋体"/>
          <w:color w:val="auto"/>
          <w:sz w:val="21"/>
          <w:szCs w:val="21"/>
          <w:highlight w:val="none"/>
        </w:rPr>
      </w:pPr>
      <w:r>
        <w:rPr>
          <w:rFonts w:hint="eastAsia" w:ascii="宋体" w:hAnsi="宋体" w:cs="宋体"/>
          <w:color w:val="auto"/>
          <w:sz w:val="21"/>
          <w:szCs w:val="21"/>
          <w:highlight w:val="none"/>
        </w:rPr>
        <w:t>   11.1供应商须编制由本须知规定组成的响应文件正副本份数详见竞争性磋商须知前附表。响应文件正本和全部副本均应使用不能擦去的墨料或墨水打印、书写或复印，副本可以用正本的完整复印件。响应文件封面上应标明“正本”、“副本”字样。正本与副本内容如有不一致，则以正本为准。</w:t>
      </w:r>
    </w:p>
    <w:p>
      <w:pPr>
        <w:pStyle w:val="12"/>
        <w:widowControl/>
        <w:spacing w:before="75" w:beforeAutospacing="0" w:after="75" w:afterAutospacing="0" w:line="435" w:lineRule="atLeast"/>
        <w:ind w:firstLine="480"/>
        <w:rPr>
          <w:rFonts w:ascii="宋体" w:hAnsi="宋体" w:cs="宋体"/>
          <w:color w:val="auto"/>
          <w:sz w:val="21"/>
          <w:szCs w:val="21"/>
          <w:highlight w:val="none"/>
        </w:rPr>
      </w:pPr>
      <w:r>
        <w:rPr>
          <w:rFonts w:hint="eastAsia" w:ascii="宋体" w:hAnsi="宋体" w:cs="宋体"/>
          <w:color w:val="auto"/>
          <w:sz w:val="21"/>
          <w:szCs w:val="21"/>
          <w:highlight w:val="none"/>
        </w:rPr>
        <w:t>11.2响应文件应由供应商代表签字并加盖公章。供应商代表如果不是竞争性磋商须知中定义的“单位负责人”，则其响应文件中还必须提供“单位负责人授权书”，未提供则视为资格审查不通过。</w:t>
      </w:r>
    </w:p>
    <w:p>
      <w:pPr>
        <w:pStyle w:val="12"/>
        <w:widowControl/>
        <w:spacing w:before="75" w:beforeAutospacing="0" w:after="75" w:afterAutospacing="0" w:line="435" w:lineRule="atLeast"/>
        <w:ind w:firstLine="480"/>
        <w:rPr>
          <w:rFonts w:ascii="宋体" w:hAnsi="宋体" w:cs="宋体"/>
          <w:color w:val="auto"/>
          <w:sz w:val="21"/>
          <w:szCs w:val="21"/>
          <w:highlight w:val="none"/>
        </w:rPr>
      </w:pPr>
      <w:r>
        <w:rPr>
          <w:rFonts w:hint="eastAsia" w:ascii="宋体" w:hAnsi="宋体" w:cs="宋体"/>
          <w:color w:val="auto"/>
          <w:sz w:val="21"/>
          <w:szCs w:val="21"/>
          <w:highlight w:val="none"/>
        </w:rPr>
        <w:t>11.3响应文件应尽量避免涂改、行间插字或删除。如果出现上述情况，改动之处应加盖供应商单位公章或由供应商代表签字确认。</w:t>
      </w:r>
    </w:p>
    <w:p>
      <w:pPr>
        <w:pStyle w:val="12"/>
        <w:widowControl/>
        <w:spacing w:before="75" w:beforeAutospacing="0" w:after="75" w:afterAutospacing="0" w:line="435" w:lineRule="atLeast"/>
        <w:rPr>
          <w:rFonts w:ascii="宋体" w:hAnsi="宋体" w:cs="宋体"/>
          <w:color w:val="auto"/>
          <w:sz w:val="21"/>
          <w:szCs w:val="21"/>
          <w:highlight w:val="none"/>
        </w:rPr>
      </w:pPr>
      <w:r>
        <w:rPr>
          <w:rFonts w:hint="eastAsia" w:ascii="宋体" w:hAnsi="宋体" w:cs="宋体"/>
          <w:color w:val="auto"/>
          <w:sz w:val="21"/>
          <w:szCs w:val="21"/>
          <w:highlight w:val="none"/>
        </w:rPr>
        <w:t>   11.4供应商应提交证明其拟提供货物、服务或工程符合磋商文件要求的技术和商务响应文件，该文件可以是文字资料、图纸和数据，并对拟提供的货物、服务或工程的主要内容进行详细描述。</w:t>
      </w:r>
    </w:p>
    <w:p>
      <w:pPr>
        <w:pStyle w:val="12"/>
        <w:widowControl/>
        <w:numPr>
          <w:ilvl w:val="0"/>
          <w:numId w:val="6"/>
        </w:numPr>
        <w:spacing w:before="75" w:beforeAutospacing="0" w:after="75" w:afterAutospacing="0" w:line="435" w:lineRule="atLeast"/>
        <w:rPr>
          <w:rStyle w:val="18"/>
          <w:rFonts w:ascii="宋体" w:hAnsi="宋体" w:cs="宋体"/>
          <w:color w:val="auto"/>
          <w:sz w:val="21"/>
          <w:szCs w:val="21"/>
          <w:highlight w:val="none"/>
        </w:rPr>
      </w:pPr>
      <w:r>
        <w:rPr>
          <w:rStyle w:val="18"/>
          <w:rFonts w:hint="eastAsia" w:ascii="宋体" w:hAnsi="宋体" w:cs="宋体"/>
          <w:color w:val="auto"/>
          <w:sz w:val="21"/>
          <w:szCs w:val="21"/>
          <w:highlight w:val="none"/>
        </w:rPr>
        <w:t>纸质响应文件的密封、标识、签署和提交：</w:t>
      </w:r>
    </w:p>
    <w:p>
      <w:pPr>
        <w:pStyle w:val="12"/>
        <w:widowControl/>
        <w:spacing w:before="75" w:beforeAutospacing="0" w:after="75" w:afterAutospacing="0" w:line="435" w:lineRule="atLeast"/>
        <w:rPr>
          <w:rFonts w:ascii="宋体" w:hAnsi="宋体" w:cs="宋体"/>
          <w:color w:val="auto"/>
          <w:sz w:val="21"/>
          <w:szCs w:val="21"/>
          <w:highlight w:val="none"/>
        </w:rPr>
      </w:pPr>
      <w:r>
        <w:rPr>
          <w:rFonts w:hint="eastAsia" w:ascii="宋体" w:hAnsi="宋体" w:cs="宋体"/>
          <w:color w:val="auto"/>
          <w:sz w:val="21"/>
          <w:szCs w:val="21"/>
          <w:highlight w:val="none"/>
        </w:rPr>
        <w:t>   12.1供应商应当将响应文件密封包装提交，并在外封套上标识项目名称、项目编号、供应商单位名称以及“于 </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之前（指首次响应文件递交截止日期及时间）不准启封响应文件”的字样；采用邮寄方式提交响应文件的，其外包装上也必须按前文要求做好标识内容和字样，且供应商还应当主动向采购人或采购代理机构确认邮件收递情况。由于供应商未按照要求对其提交的响应文件进行密封、标识、邮寄确认等，由此可能产生的后果（包括拒收、误放、遗漏或提前拆封等情形），将由供应商自行承担相应结果，采购人或采购代理机构不承担责任。</w:t>
      </w:r>
    </w:p>
    <w:p>
      <w:pPr>
        <w:pStyle w:val="12"/>
        <w:widowControl/>
        <w:spacing w:before="75" w:beforeAutospacing="0" w:after="75" w:afterAutospacing="0" w:line="435" w:lineRule="atLeast"/>
        <w:rPr>
          <w:rFonts w:ascii="宋体" w:hAnsi="宋体" w:cs="宋体"/>
          <w:color w:val="auto"/>
          <w:sz w:val="21"/>
          <w:szCs w:val="21"/>
          <w:highlight w:val="none"/>
        </w:rPr>
      </w:pPr>
      <w:r>
        <w:rPr>
          <w:rFonts w:hint="eastAsia" w:ascii="宋体" w:hAnsi="宋体" w:cs="宋体"/>
          <w:color w:val="auto"/>
          <w:sz w:val="21"/>
          <w:szCs w:val="21"/>
          <w:highlight w:val="none"/>
        </w:rPr>
        <w:t>   12.2供应商应当在磋商文件规定的提交响应文件截止时间前，将首次响应文件密封送达磋商文件规定的指定地点。在截止时间后送达的首次响应文件为无效文件，采购人、采购代理机构或者磋商小组将不予接收。</w:t>
      </w:r>
    </w:p>
    <w:p>
      <w:pPr>
        <w:pStyle w:val="12"/>
        <w:widowControl/>
        <w:spacing w:before="75" w:beforeAutospacing="0" w:after="75" w:afterAutospacing="0" w:line="435" w:lineRule="atLeast"/>
        <w:ind w:firstLine="480"/>
        <w:rPr>
          <w:rFonts w:ascii="宋体" w:hAnsi="宋体" w:cs="宋体"/>
          <w:color w:val="auto"/>
          <w:sz w:val="21"/>
          <w:szCs w:val="21"/>
          <w:highlight w:val="none"/>
        </w:rPr>
      </w:pPr>
      <w:r>
        <w:rPr>
          <w:rFonts w:hint="eastAsia" w:ascii="宋体" w:hAnsi="宋体" w:cs="宋体"/>
          <w:color w:val="auto"/>
          <w:sz w:val="21"/>
          <w:szCs w:val="21"/>
          <w:highlight w:val="none"/>
        </w:rPr>
        <w:t>12.3供应商在首次响应文件递交截止时间前，可以对其所提交的响应文件进行补充、修改或者撤回，并书面通知采购人、采购代理机构或磋商小组。补充、修改的内容作为响应文件的组成部分。补充、修改的内容与响应文件不一致的，以补充、修改的内容为准。供应商在提交响应文件截止时间前提交的补充、修改或者撤回申请要求，应当以原件书面形式并由供应商代表签署（供应商代表如果不是竞争性磋商须知中定义的“单位负责人”，则还必须提供“单位负责人授权书”），或者加盖供应商单位公章方可生效，否则采购人、采购代理机构或磋商小组将视为无效补充、修改或者撤回。采购人、采购代理机构或磋商小组不接受供应商口头、电话、传真或电子邮件形式提交的补充、修改或者撤回。</w:t>
      </w:r>
    </w:p>
    <w:p>
      <w:pPr>
        <w:pStyle w:val="12"/>
        <w:widowControl/>
        <w:spacing w:before="75" w:beforeAutospacing="0" w:after="75" w:afterAutospacing="0" w:line="435" w:lineRule="atLeast"/>
        <w:ind w:firstLine="480"/>
        <w:rPr>
          <w:rFonts w:ascii="宋体" w:hAnsi="宋体" w:cs="宋体"/>
          <w:color w:val="auto"/>
          <w:sz w:val="21"/>
          <w:szCs w:val="21"/>
          <w:highlight w:val="none"/>
        </w:rPr>
      </w:pPr>
      <w:r>
        <w:rPr>
          <w:rFonts w:hint="eastAsia" w:ascii="宋体" w:hAnsi="宋体" w:cs="宋体"/>
          <w:color w:val="auto"/>
          <w:sz w:val="21"/>
          <w:szCs w:val="21"/>
          <w:highlight w:val="none"/>
        </w:rPr>
        <w:t>12.4供应商在磋商过程中根据磋商小组要求，提交的有关澄清、说明、补充、更正响应文件以及最后报价响应文件等资料，均应由供应商代表签署（供应商代表如果不是竞争性磋商须知中定义的“单位负责人”，则还必须提供“单位负责人授权书”），或者加盖供应商单位公章。</w:t>
      </w:r>
    </w:p>
    <w:p>
      <w:pPr>
        <w:pStyle w:val="12"/>
        <w:widowControl/>
        <w:spacing w:before="75" w:beforeAutospacing="0" w:after="75" w:afterAutospacing="0" w:line="435" w:lineRule="atLeast"/>
        <w:rPr>
          <w:rFonts w:ascii="宋体" w:hAnsi="宋体" w:cs="宋体"/>
          <w:color w:val="auto"/>
          <w:sz w:val="21"/>
          <w:szCs w:val="21"/>
          <w:highlight w:val="none"/>
        </w:rPr>
      </w:pPr>
      <w:r>
        <w:rPr>
          <w:rFonts w:hint="eastAsia" w:ascii="宋体" w:hAnsi="宋体" w:cs="宋体"/>
          <w:color w:val="auto"/>
          <w:sz w:val="21"/>
          <w:szCs w:val="21"/>
          <w:highlight w:val="none"/>
        </w:rPr>
        <w:t>   12.5除《政府采购竞争性磋商采购方式管理暂行办法》等相关法律法规及财政部门颁布的规范性文件允许的两家供应商进行竞争性磋商采购情形外，首次响应文件递交截止时间后，提交响应文件的供应商不足三家的，本次竞争性磋商活动终止，除采购任务取消情形外，采购人将依法重新组织采购或者采取其他方式采购。</w:t>
      </w:r>
    </w:p>
    <w:p>
      <w:pPr>
        <w:pStyle w:val="12"/>
        <w:widowControl/>
        <w:spacing w:before="75" w:beforeAutospacing="0" w:after="75" w:afterAutospacing="0" w:line="435" w:lineRule="atLeast"/>
        <w:rPr>
          <w:rFonts w:ascii="宋体" w:hAnsi="宋体" w:cs="宋体"/>
          <w:color w:val="auto"/>
          <w:sz w:val="21"/>
          <w:szCs w:val="21"/>
          <w:highlight w:val="none"/>
        </w:rPr>
      </w:pPr>
      <w:r>
        <w:rPr>
          <w:rFonts w:hint="eastAsia" w:ascii="宋体" w:hAnsi="宋体" w:cs="宋体"/>
          <w:color w:val="auto"/>
          <w:sz w:val="21"/>
          <w:szCs w:val="21"/>
          <w:highlight w:val="none"/>
        </w:rPr>
        <w:t> </w:t>
      </w:r>
    </w:p>
    <w:p>
      <w:pPr>
        <w:pStyle w:val="12"/>
        <w:widowControl/>
        <w:spacing w:before="75" w:beforeAutospacing="0" w:after="75" w:afterAutospacing="0" w:line="435" w:lineRule="atLeast"/>
        <w:jc w:val="center"/>
        <w:rPr>
          <w:rFonts w:ascii="宋体" w:hAnsi="宋体" w:cs="宋体"/>
          <w:color w:val="auto"/>
          <w:sz w:val="21"/>
          <w:szCs w:val="21"/>
          <w:highlight w:val="none"/>
        </w:rPr>
      </w:pPr>
      <w:r>
        <w:rPr>
          <w:rStyle w:val="18"/>
          <w:rFonts w:hint="eastAsia" w:ascii="宋体" w:hAnsi="宋体" w:cs="宋体"/>
          <w:color w:val="auto"/>
          <w:sz w:val="21"/>
          <w:szCs w:val="21"/>
          <w:highlight w:val="none"/>
        </w:rPr>
        <w:t>四、竞争性磋商</w:t>
      </w:r>
    </w:p>
    <w:p>
      <w:pPr>
        <w:pStyle w:val="12"/>
        <w:widowControl/>
        <w:spacing w:before="75" w:beforeAutospacing="0" w:after="75" w:afterAutospacing="0" w:line="435" w:lineRule="atLeast"/>
        <w:rPr>
          <w:rFonts w:ascii="宋体" w:hAnsi="宋体" w:cs="宋体"/>
          <w:color w:val="auto"/>
          <w:sz w:val="21"/>
          <w:szCs w:val="21"/>
          <w:highlight w:val="none"/>
        </w:rPr>
      </w:pPr>
      <w:r>
        <w:rPr>
          <w:rStyle w:val="18"/>
          <w:rFonts w:hint="eastAsia" w:ascii="宋体" w:hAnsi="宋体" w:cs="宋体"/>
          <w:color w:val="auto"/>
          <w:sz w:val="21"/>
          <w:szCs w:val="21"/>
          <w:highlight w:val="none"/>
        </w:rPr>
        <w:t> </w:t>
      </w:r>
    </w:p>
    <w:p>
      <w:pPr>
        <w:pStyle w:val="12"/>
        <w:widowControl/>
        <w:spacing w:before="75" w:beforeAutospacing="0" w:after="75" w:afterAutospacing="0" w:line="435" w:lineRule="atLeast"/>
        <w:rPr>
          <w:rFonts w:ascii="宋体" w:hAnsi="宋体" w:cs="宋体"/>
          <w:color w:val="auto"/>
          <w:sz w:val="21"/>
          <w:szCs w:val="21"/>
          <w:highlight w:val="none"/>
        </w:rPr>
      </w:pPr>
      <w:r>
        <w:rPr>
          <w:rStyle w:val="18"/>
          <w:rFonts w:hint="eastAsia" w:ascii="宋体" w:hAnsi="宋体" w:cs="宋体"/>
          <w:color w:val="auto"/>
          <w:sz w:val="21"/>
          <w:szCs w:val="21"/>
          <w:highlight w:val="none"/>
        </w:rPr>
        <w:t>13.评审和磋商基本准则</w:t>
      </w:r>
    </w:p>
    <w:p>
      <w:pPr>
        <w:pStyle w:val="12"/>
        <w:widowControl/>
        <w:spacing w:before="75" w:beforeAutospacing="0" w:after="75" w:afterAutospacing="0" w:line="435" w:lineRule="atLeast"/>
        <w:rPr>
          <w:rFonts w:ascii="宋体" w:hAnsi="宋体" w:cs="宋体"/>
          <w:color w:val="auto"/>
          <w:sz w:val="21"/>
          <w:szCs w:val="21"/>
          <w:highlight w:val="none"/>
        </w:rPr>
      </w:pPr>
      <w:r>
        <w:rPr>
          <w:rFonts w:hint="eastAsia" w:ascii="宋体" w:hAnsi="宋体" w:cs="宋体"/>
          <w:color w:val="auto"/>
          <w:sz w:val="21"/>
          <w:szCs w:val="21"/>
          <w:highlight w:val="none"/>
        </w:rPr>
        <w:t>  13.1对所有供应商的评审和磋商，都采用相同的程序和标准。</w:t>
      </w:r>
    </w:p>
    <w:p>
      <w:pPr>
        <w:pStyle w:val="12"/>
        <w:widowControl/>
        <w:spacing w:before="75" w:beforeAutospacing="0" w:after="75" w:afterAutospacing="0" w:line="435" w:lineRule="atLeast"/>
        <w:rPr>
          <w:rFonts w:ascii="宋体" w:hAnsi="宋体" w:cs="宋体"/>
          <w:color w:val="auto"/>
          <w:sz w:val="21"/>
          <w:szCs w:val="21"/>
          <w:highlight w:val="none"/>
        </w:rPr>
      </w:pPr>
      <w:r>
        <w:rPr>
          <w:rFonts w:hint="eastAsia" w:ascii="宋体" w:hAnsi="宋体" w:cs="宋体"/>
          <w:color w:val="auto"/>
          <w:sz w:val="21"/>
          <w:szCs w:val="21"/>
          <w:highlight w:val="none"/>
        </w:rPr>
        <w:t>  13.2磋商及评审过程将严格按照磋商文件的要求和条件进行，磋商小组将根据供应商的响应文件，按磋商文件规定的磋商程序及评审的标准和方法进行评审、磋商，并推荐成交候选人。</w:t>
      </w:r>
    </w:p>
    <w:p>
      <w:pPr>
        <w:pStyle w:val="12"/>
        <w:widowControl/>
        <w:spacing w:before="75" w:beforeAutospacing="0" w:after="75" w:afterAutospacing="0" w:line="435" w:lineRule="atLeast"/>
        <w:rPr>
          <w:rFonts w:ascii="宋体" w:hAnsi="宋体" w:cs="宋体"/>
          <w:color w:val="auto"/>
          <w:sz w:val="21"/>
          <w:szCs w:val="21"/>
          <w:highlight w:val="none"/>
        </w:rPr>
      </w:pPr>
      <w:r>
        <w:rPr>
          <w:rStyle w:val="18"/>
          <w:rFonts w:hint="eastAsia" w:ascii="宋体" w:hAnsi="宋体" w:cs="宋体"/>
          <w:color w:val="auto"/>
          <w:sz w:val="21"/>
          <w:szCs w:val="21"/>
          <w:highlight w:val="none"/>
        </w:rPr>
        <w:t>14.磋商程序以及评审标准和方法</w:t>
      </w:r>
    </w:p>
    <w:p>
      <w:pPr>
        <w:pStyle w:val="12"/>
        <w:widowControl/>
        <w:spacing w:before="75" w:beforeAutospacing="0" w:after="75" w:afterAutospacing="0" w:line="435" w:lineRule="atLeast"/>
        <w:rPr>
          <w:rFonts w:ascii="宋体" w:hAnsi="宋体" w:cs="宋体"/>
          <w:color w:val="auto"/>
          <w:sz w:val="21"/>
          <w:szCs w:val="21"/>
          <w:highlight w:val="none"/>
        </w:rPr>
      </w:pPr>
      <w:r>
        <w:rPr>
          <w:rFonts w:hint="eastAsia" w:ascii="宋体" w:hAnsi="宋体" w:cs="宋体"/>
          <w:color w:val="auto"/>
          <w:sz w:val="21"/>
          <w:szCs w:val="21"/>
          <w:highlight w:val="none"/>
        </w:rPr>
        <w:t>   14.1采购人将根据项目的特点依法组建磋商小组。磋商小组将根据磋商文件规定的程序、评审标准和方法等内容对供应商进行评审、磋商。</w:t>
      </w:r>
    </w:p>
    <w:p>
      <w:pPr>
        <w:pStyle w:val="12"/>
        <w:widowControl/>
        <w:spacing w:before="75" w:beforeAutospacing="0" w:after="75" w:afterAutospacing="0" w:line="435" w:lineRule="atLeast"/>
        <w:ind w:firstLine="480"/>
        <w:rPr>
          <w:rFonts w:ascii="宋体" w:hAnsi="宋体" w:cs="宋体"/>
          <w:color w:val="auto"/>
          <w:sz w:val="21"/>
          <w:szCs w:val="21"/>
          <w:highlight w:val="none"/>
        </w:rPr>
      </w:pPr>
      <w:r>
        <w:rPr>
          <w:rFonts w:hint="eastAsia" w:ascii="宋体" w:hAnsi="宋体" w:cs="宋体"/>
          <w:color w:val="auto"/>
          <w:sz w:val="21"/>
          <w:szCs w:val="21"/>
          <w:highlight w:val="none"/>
        </w:rPr>
        <w:t>14.2 在进入磋商阶段之前，磋商小组将对供应商提交的首次响应文件中资格证明文件以及其他响应文件是否对磋商文件的要求作出实质性响应进行审查。</w:t>
      </w:r>
      <w:r>
        <w:rPr>
          <w:rFonts w:hint="eastAsia" w:ascii="宋体" w:hAnsi="宋体" w:cs="宋体"/>
          <w:b/>
          <w:bCs/>
          <w:color w:val="auto"/>
          <w:sz w:val="21"/>
          <w:szCs w:val="21"/>
          <w:highlight w:val="none"/>
        </w:rPr>
        <w:t>如果供应商资格审查和实质性响应审查不合格，则其响应文件将被磋商小组否决，按无效响应（投标）处理</w:t>
      </w:r>
      <w:r>
        <w:rPr>
          <w:rFonts w:hint="eastAsia" w:ascii="宋体" w:hAnsi="宋体" w:cs="宋体"/>
          <w:color w:val="auto"/>
          <w:sz w:val="21"/>
          <w:szCs w:val="21"/>
          <w:highlight w:val="none"/>
        </w:rPr>
        <w:t>，不进入磋商阶段，磋商小组将告知有关供应商。</w:t>
      </w:r>
    </w:p>
    <w:p>
      <w:pPr>
        <w:pStyle w:val="12"/>
        <w:widowControl/>
        <w:spacing w:before="75" w:beforeAutospacing="0" w:after="75" w:afterAutospacing="0" w:line="435" w:lineRule="atLeast"/>
        <w:ind w:firstLine="480"/>
        <w:rPr>
          <w:rFonts w:ascii="宋体" w:hAnsi="宋体" w:cs="宋体"/>
          <w:color w:val="auto"/>
          <w:sz w:val="21"/>
          <w:szCs w:val="21"/>
          <w:highlight w:val="none"/>
        </w:rPr>
      </w:pPr>
      <w:r>
        <w:rPr>
          <w:rFonts w:hint="eastAsia" w:ascii="宋体" w:hAnsi="宋体" w:cs="宋体"/>
          <w:color w:val="auto"/>
          <w:sz w:val="21"/>
          <w:szCs w:val="21"/>
          <w:highlight w:val="none"/>
        </w:rPr>
        <w:t>14.2.1供应商有下列情况之一者，其提交的响应文件将被视为未实质性响应磋商文件要求，磋商小组将否决其响应文件，按无效响应（投标）处理：</w:t>
      </w:r>
    </w:p>
    <w:p>
      <w:pPr>
        <w:pStyle w:val="12"/>
        <w:widowControl/>
        <w:spacing w:before="75" w:beforeAutospacing="0" w:after="75" w:afterAutospacing="0" w:line="435" w:lineRule="atLeast"/>
        <w:ind w:firstLine="480"/>
        <w:rPr>
          <w:rFonts w:ascii="宋体" w:hAnsi="宋体" w:cs="宋体"/>
          <w:color w:val="auto"/>
          <w:sz w:val="21"/>
          <w:szCs w:val="21"/>
          <w:highlight w:val="none"/>
        </w:rPr>
      </w:pPr>
      <w:r>
        <w:rPr>
          <w:rFonts w:hint="eastAsia" w:ascii="宋体" w:hAnsi="宋体" w:cs="宋体"/>
          <w:color w:val="auto"/>
          <w:sz w:val="21"/>
          <w:szCs w:val="21"/>
          <w:highlight w:val="none"/>
        </w:rPr>
        <w:t>(1)未按照磋商文件规定提交供应商的资格证明文件，或不满足资格要求。</w:t>
      </w:r>
    </w:p>
    <w:p>
      <w:pPr>
        <w:pStyle w:val="12"/>
        <w:widowControl/>
        <w:spacing w:before="75" w:beforeAutospacing="0" w:after="75" w:afterAutospacing="0" w:line="435" w:lineRule="atLeast"/>
        <w:ind w:firstLine="480"/>
        <w:rPr>
          <w:rFonts w:ascii="宋体" w:hAnsi="宋体" w:cs="宋体"/>
          <w:color w:val="auto"/>
          <w:sz w:val="21"/>
          <w:szCs w:val="21"/>
          <w:highlight w:val="none"/>
        </w:rPr>
      </w:pPr>
      <w:r>
        <w:rPr>
          <w:rFonts w:hint="eastAsia" w:ascii="宋体" w:hAnsi="宋体" w:cs="宋体"/>
          <w:color w:val="auto"/>
          <w:sz w:val="21"/>
          <w:szCs w:val="21"/>
          <w:highlight w:val="none"/>
        </w:rPr>
        <w:t>(2)响应文件未按磋商文件规定由供应商代表签字，或未按磋商文件规定加盖供应商单位公章的；或供应商代表未获得有效授权的；</w:t>
      </w:r>
    </w:p>
    <w:p>
      <w:pPr>
        <w:pStyle w:val="12"/>
        <w:widowControl/>
        <w:spacing w:before="75" w:beforeAutospacing="0" w:after="75" w:afterAutospacing="0" w:line="435" w:lineRule="atLeast"/>
        <w:ind w:firstLine="480"/>
        <w:rPr>
          <w:rFonts w:ascii="宋体" w:hAnsi="宋体" w:cs="宋体"/>
          <w:color w:val="auto"/>
          <w:sz w:val="21"/>
          <w:szCs w:val="21"/>
          <w:highlight w:val="none"/>
        </w:rPr>
      </w:pPr>
      <w:r>
        <w:rPr>
          <w:rFonts w:hint="eastAsia" w:ascii="宋体" w:hAnsi="宋体" w:cs="宋体"/>
          <w:color w:val="auto"/>
          <w:sz w:val="21"/>
          <w:szCs w:val="21"/>
          <w:highlight w:val="none"/>
        </w:rPr>
        <w:t>(3)供应商未按磋商文件规定提交磋商保证金的；</w:t>
      </w:r>
    </w:p>
    <w:p>
      <w:pPr>
        <w:pStyle w:val="12"/>
        <w:widowControl/>
        <w:spacing w:before="75" w:beforeAutospacing="0" w:after="75" w:afterAutospacing="0" w:line="435" w:lineRule="atLeast"/>
        <w:ind w:firstLine="480"/>
        <w:rPr>
          <w:rFonts w:ascii="宋体" w:hAnsi="宋体" w:cs="宋体"/>
          <w:color w:val="auto"/>
          <w:sz w:val="21"/>
          <w:szCs w:val="21"/>
          <w:highlight w:val="none"/>
        </w:rPr>
      </w:pPr>
      <w:r>
        <w:rPr>
          <w:rFonts w:hint="eastAsia" w:ascii="宋体" w:hAnsi="宋体" w:cs="宋体"/>
          <w:color w:val="auto"/>
          <w:sz w:val="21"/>
          <w:szCs w:val="21"/>
          <w:highlight w:val="none"/>
        </w:rPr>
        <w:t>(4)响应文件有效期不满足磋商文件要求的；</w:t>
      </w:r>
    </w:p>
    <w:p>
      <w:pPr>
        <w:pStyle w:val="12"/>
        <w:widowControl/>
        <w:spacing w:before="75" w:beforeAutospacing="0" w:after="75" w:afterAutospacing="0" w:line="435" w:lineRule="atLeast"/>
        <w:ind w:firstLine="480"/>
        <w:rPr>
          <w:rFonts w:ascii="宋体" w:hAnsi="宋体" w:cs="宋体"/>
          <w:color w:val="auto"/>
          <w:sz w:val="21"/>
          <w:szCs w:val="21"/>
          <w:highlight w:val="none"/>
        </w:rPr>
      </w:pPr>
      <w:r>
        <w:rPr>
          <w:rFonts w:hint="eastAsia" w:ascii="宋体" w:hAnsi="宋体" w:cs="宋体"/>
          <w:color w:val="auto"/>
          <w:sz w:val="21"/>
          <w:szCs w:val="21"/>
          <w:highlight w:val="none"/>
        </w:rPr>
        <w:t>(5)响应内容与磋商采购内容及要求有重大偏离或保留的，限制了采购人的权利或者减少成交人合同项下的义务（由于磋商项目本身特点，不能详细列明采购标的的技术、服务要求的除外）；</w:t>
      </w:r>
    </w:p>
    <w:p>
      <w:pPr>
        <w:pStyle w:val="12"/>
        <w:widowControl/>
        <w:spacing w:before="75" w:beforeAutospacing="0" w:after="75" w:afterAutospacing="0" w:line="435" w:lineRule="atLeast"/>
        <w:ind w:firstLine="480"/>
        <w:rPr>
          <w:rFonts w:ascii="宋体" w:hAnsi="宋体" w:cs="宋体"/>
          <w:color w:val="auto"/>
          <w:sz w:val="21"/>
          <w:szCs w:val="21"/>
          <w:highlight w:val="none"/>
        </w:rPr>
      </w:pPr>
      <w:r>
        <w:rPr>
          <w:rFonts w:hint="eastAsia" w:ascii="宋体" w:hAnsi="宋体" w:cs="宋体"/>
          <w:color w:val="auto"/>
          <w:sz w:val="21"/>
          <w:szCs w:val="21"/>
          <w:highlight w:val="none"/>
        </w:rPr>
        <w:t>(6)响应文件中附有采购人无法接受的条件的；</w:t>
      </w:r>
    </w:p>
    <w:p>
      <w:pPr>
        <w:pStyle w:val="12"/>
        <w:widowControl/>
        <w:spacing w:before="75" w:beforeAutospacing="0" w:after="75" w:afterAutospacing="0" w:line="435" w:lineRule="atLeast"/>
        <w:ind w:firstLine="480"/>
        <w:rPr>
          <w:rFonts w:ascii="宋体" w:hAnsi="宋体" w:cs="宋体"/>
          <w:color w:val="auto"/>
          <w:sz w:val="21"/>
          <w:szCs w:val="21"/>
          <w:highlight w:val="none"/>
        </w:rPr>
      </w:pPr>
      <w:r>
        <w:rPr>
          <w:rFonts w:hint="eastAsia" w:ascii="宋体" w:hAnsi="宋体" w:cs="宋体"/>
          <w:color w:val="auto"/>
          <w:sz w:val="21"/>
          <w:szCs w:val="21"/>
          <w:highlight w:val="none"/>
        </w:rPr>
        <w:t>(7)不符合磋商文件中规定的其它实质性条款（比如：报价超过了磋商文件规定的最高限价）。</w:t>
      </w:r>
    </w:p>
    <w:p>
      <w:pPr>
        <w:pStyle w:val="12"/>
        <w:widowControl/>
        <w:spacing w:before="75" w:beforeAutospacing="0" w:after="75" w:afterAutospacing="0" w:line="435" w:lineRule="atLeast"/>
        <w:ind w:firstLine="480"/>
        <w:rPr>
          <w:rFonts w:ascii="宋体" w:hAnsi="宋体" w:cs="宋体"/>
          <w:color w:val="auto"/>
          <w:sz w:val="21"/>
          <w:szCs w:val="21"/>
          <w:highlight w:val="none"/>
        </w:rPr>
      </w:pPr>
      <w:r>
        <w:rPr>
          <w:rFonts w:hint="eastAsia" w:ascii="宋体" w:hAnsi="宋体" w:cs="宋体"/>
          <w:color w:val="auto"/>
          <w:sz w:val="21"/>
          <w:szCs w:val="21"/>
          <w:highlight w:val="none"/>
        </w:rPr>
        <w:t>14.2.2其他情形</w:t>
      </w:r>
    </w:p>
    <w:p>
      <w:pPr>
        <w:pStyle w:val="12"/>
        <w:widowControl/>
        <w:spacing w:before="75" w:beforeAutospacing="0" w:after="75" w:afterAutospacing="0" w:line="435" w:lineRule="atLeast"/>
        <w:ind w:firstLine="480"/>
        <w:rPr>
          <w:rFonts w:ascii="宋体" w:hAnsi="宋体" w:cs="宋体"/>
          <w:color w:val="auto"/>
          <w:sz w:val="21"/>
          <w:szCs w:val="21"/>
          <w:highlight w:val="none"/>
        </w:rPr>
      </w:pPr>
      <w:r>
        <w:rPr>
          <w:rFonts w:hint="eastAsia" w:ascii="宋体" w:hAnsi="宋体" w:cs="宋体"/>
          <w:color w:val="auto"/>
          <w:sz w:val="21"/>
          <w:szCs w:val="21"/>
          <w:highlight w:val="none"/>
        </w:rPr>
        <w:t>包：1 </w:t>
      </w:r>
    </w:p>
    <w:p>
      <w:pPr>
        <w:pStyle w:val="12"/>
        <w:widowControl/>
        <w:spacing w:before="75" w:beforeAutospacing="0" w:after="75" w:afterAutospacing="0" w:line="435" w:lineRule="atLeast"/>
        <w:ind w:firstLine="480"/>
        <w:rPr>
          <w:rFonts w:ascii="宋体" w:hAnsi="宋体" w:cs="宋体"/>
          <w:color w:val="auto"/>
          <w:sz w:val="21"/>
          <w:szCs w:val="21"/>
          <w:highlight w:val="none"/>
        </w:rPr>
      </w:pPr>
      <w:r>
        <w:rPr>
          <w:rFonts w:hint="eastAsia" w:ascii="宋体" w:hAnsi="宋体" w:cs="宋体"/>
          <w:b/>
          <w:bCs/>
          <w:color w:val="auto"/>
          <w:sz w:val="21"/>
          <w:szCs w:val="21"/>
          <w:highlight w:val="none"/>
        </w:rPr>
        <w:t>一般情形</w:t>
      </w:r>
    </w:p>
    <w:tbl>
      <w:tblPr>
        <w:tblStyle w:val="15"/>
        <w:tblW w:w="0" w:type="auto"/>
        <w:jc w:val="center"/>
        <w:tblCellSpacing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97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9" w:hRule="atLeast"/>
          <w:tblHeader/>
          <w:tblCellSpacing w:w="0" w:type="dxa"/>
          <w:jc w:val="center"/>
        </w:trPr>
        <w:tc>
          <w:tcPr>
            <w:tcW w:w="9760" w:type="dxa"/>
            <w:vAlign w:val="center"/>
          </w:tcPr>
          <w:p>
            <w:pPr>
              <w:keepNext w:val="0"/>
              <w:keepLines w:val="0"/>
              <w:widowControl/>
              <w:suppressLineNumbers w:val="0"/>
              <w:spacing w:before="0" w:beforeAutospacing="0" w:after="0" w:afterAutospacing="0"/>
              <w:ind w:left="0" w:right="0"/>
              <w:jc w:val="center"/>
              <w:rPr>
                <w:rFonts w:hint="default" w:ascii="宋体" w:hAnsi="宋体" w:cs="宋体"/>
                <w:b/>
                <w:color w:val="auto"/>
                <w:szCs w:val="21"/>
                <w:highlight w:val="none"/>
              </w:rPr>
            </w:pPr>
            <w:r>
              <w:rPr>
                <w:rFonts w:hint="eastAsia" w:ascii="宋体" w:hAnsi="宋体" w:cs="宋体"/>
                <w:b/>
                <w:color w:val="auto"/>
                <w:kern w:val="0"/>
                <w:szCs w:val="21"/>
                <w:highlight w:val="none"/>
                <w:lang w:bidi="ar"/>
              </w:rPr>
              <w:t>明细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76" w:hRule="atLeast"/>
          <w:tblCellSpacing w:w="0" w:type="dxa"/>
          <w:jc w:val="center"/>
        </w:trPr>
        <w:tc>
          <w:tcPr>
            <w:tcW w:w="9760" w:type="dxa"/>
            <w:vAlign w:val="center"/>
          </w:tcPr>
          <w:p>
            <w:pPr>
              <w:keepNext w:val="0"/>
              <w:keepLines w:val="0"/>
              <w:widowControl/>
              <w:suppressLineNumbers w:val="0"/>
              <w:spacing w:before="0" w:beforeAutospacing="0" w:after="0" w:afterAutospacing="0"/>
              <w:ind w:left="0" w:right="0"/>
              <w:jc w:val="left"/>
              <w:rPr>
                <w:rFonts w:hint="default" w:ascii="宋体" w:hAnsi="宋体" w:cs="宋体"/>
                <w:color w:val="auto"/>
                <w:szCs w:val="21"/>
                <w:highlight w:val="none"/>
              </w:rPr>
            </w:pPr>
            <w:r>
              <w:rPr>
                <w:rFonts w:hint="eastAsia" w:ascii="宋体" w:hAnsi="宋体" w:cs="宋体"/>
                <w:color w:val="auto"/>
                <w:kern w:val="0"/>
                <w:szCs w:val="21"/>
                <w:highlight w:val="none"/>
                <w:lang w:bidi="ar"/>
              </w:rPr>
              <w:t>交付地点、交付时间、交付条件、支付方式、验收、保修期及售后服务等商务条件不满足</w:t>
            </w:r>
            <w:r>
              <w:rPr>
                <w:rFonts w:hint="eastAsia" w:ascii="宋体" w:hAnsi="宋体" w:cs="宋体"/>
                <w:color w:val="auto"/>
                <w:kern w:val="0"/>
                <w:szCs w:val="21"/>
                <w:highlight w:val="none"/>
                <w:lang w:val="en-US" w:eastAsia="zh-CN" w:bidi="ar"/>
              </w:rPr>
              <w:t>磋商</w:t>
            </w:r>
            <w:r>
              <w:rPr>
                <w:rFonts w:hint="eastAsia" w:ascii="宋体" w:hAnsi="宋体" w:cs="宋体"/>
                <w:color w:val="auto"/>
                <w:kern w:val="0"/>
                <w:szCs w:val="21"/>
                <w:highlight w:val="none"/>
                <w:lang w:bidi="ar"/>
              </w:rPr>
              <w:t>文件要求的；或不接受</w:t>
            </w:r>
            <w:r>
              <w:rPr>
                <w:rFonts w:hint="eastAsia" w:ascii="宋体" w:hAnsi="宋体" w:cs="宋体"/>
                <w:color w:val="auto"/>
                <w:kern w:val="0"/>
                <w:szCs w:val="21"/>
                <w:highlight w:val="none"/>
                <w:lang w:val="en-US" w:eastAsia="zh-CN" w:bidi="ar"/>
              </w:rPr>
              <w:t>磋商</w:t>
            </w:r>
            <w:r>
              <w:rPr>
                <w:rFonts w:hint="eastAsia" w:ascii="宋体" w:hAnsi="宋体" w:cs="宋体"/>
                <w:color w:val="auto"/>
                <w:kern w:val="0"/>
                <w:szCs w:val="21"/>
                <w:highlight w:val="none"/>
                <w:lang w:bidi="ar"/>
              </w:rPr>
              <w:t>文件规定的合同款支付方式。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54" w:hRule="atLeast"/>
          <w:tblCellSpacing w:w="0" w:type="dxa"/>
          <w:jc w:val="center"/>
        </w:trPr>
        <w:tc>
          <w:tcPr>
            <w:tcW w:w="9760" w:type="dxa"/>
            <w:vAlign w:val="center"/>
          </w:tcPr>
          <w:p>
            <w:pPr>
              <w:keepNext w:val="0"/>
              <w:keepLines w:val="0"/>
              <w:widowControl/>
              <w:suppressLineNumbers w:val="0"/>
              <w:spacing w:before="0" w:beforeAutospacing="0" w:after="0" w:afterAutospacing="0"/>
              <w:ind w:left="0" w:right="0"/>
              <w:jc w:val="left"/>
              <w:rPr>
                <w:rFonts w:hint="default" w:ascii="宋体" w:hAnsi="宋体" w:cs="宋体"/>
                <w:color w:val="auto"/>
                <w:szCs w:val="21"/>
                <w:highlight w:val="none"/>
              </w:rPr>
            </w:pPr>
            <w:r>
              <w:rPr>
                <w:rFonts w:hint="eastAsia" w:ascii="宋体" w:hAnsi="宋体" w:cs="宋体"/>
                <w:color w:val="auto"/>
                <w:kern w:val="0"/>
                <w:szCs w:val="21"/>
                <w:highlight w:val="none"/>
                <w:lang w:bidi="ar"/>
              </w:rPr>
              <w:t>供应商的技术部分实际得分少于磋商文件设定的技术部分总分50%的。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54" w:hRule="atLeast"/>
          <w:tblCellSpacing w:w="0" w:type="dxa"/>
          <w:jc w:val="center"/>
        </w:trPr>
        <w:tc>
          <w:tcPr>
            <w:tcW w:w="9760" w:type="dxa"/>
            <w:vAlign w:val="center"/>
          </w:tcPr>
          <w:p>
            <w:pPr>
              <w:keepNext w:val="0"/>
              <w:keepLines w:val="0"/>
              <w:widowControl/>
              <w:suppressLineNumbers w:val="0"/>
              <w:spacing w:before="0" w:beforeAutospacing="0" w:after="0" w:afterAutospacing="0"/>
              <w:ind w:left="0" w:right="0"/>
              <w:jc w:val="left"/>
              <w:rPr>
                <w:rFonts w:hint="default" w:ascii="宋体" w:hAnsi="宋体" w:cs="宋体"/>
                <w:color w:val="auto"/>
                <w:kern w:val="0"/>
                <w:szCs w:val="21"/>
                <w:highlight w:val="none"/>
                <w:lang w:bidi="ar"/>
              </w:rPr>
            </w:pPr>
            <w:r>
              <w:rPr>
                <w:rFonts w:hint="eastAsia" w:ascii="宋体" w:hAnsi="宋体" w:cs="宋体"/>
                <w:color w:val="auto"/>
                <w:kern w:val="0"/>
                <w:szCs w:val="21"/>
                <w:highlight w:val="none"/>
                <w:lang w:bidi="ar"/>
              </w:rPr>
              <w:t>虚假承诺、声明、响应或提交其他虚假材料等。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54" w:hRule="atLeast"/>
          <w:tblCellSpacing w:w="0" w:type="dxa"/>
          <w:jc w:val="center"/>
        </w:trPr>
        <w:tc>
          <w:tcPr>
            <w:tcW w:w="9760" w:type="dxa"/>
            <w:vAlign w:val="center"/>
          </w:tcPr>
          <w:p>
            <w:pPr>
              <w:keepNext w:val="0"/>
              <w:keepLines w:val="0"/>
              <w:widowControl/>
              <w:suppressLineNumbers w:val="0"/>
              <w:spacing w:before="0" w:beforeAutospacing="0" w:after="0" w:afterAutospacing="0"/>
              <w:ind w:left="0" w:right="0"/>
              <w:jc w:val="left"/>
              <w:rPr>
                <w:rFonts w:hint="default" w:ascii="宋体" w:hAnsi="宋体" w:cs="宋体"/>
                <w:color w:val="auto"/>
                <w:kern w:val="0"/>
                <w:szCs w:val="21"/>
                <w:highlight w:val="none"/>
                <w:lang w:bidi="ar"/>
              </w:rPr>
            </w:pPr>
            <w:r>
              <w:rPr>
                <w:rFonts w:hint="eastAsia" w:ascii="宋体" w:hAnsi="宋体" w:cs="宋体"/>
                <w:color w:val="auto"/>
                <w:kern w:val="0"/>
                <w:szCs w:val="21"/>
                <w:highlight w:val="none"/>
                <w:lang w:bidi="ar"/>
              </w:rPr>
              <w:t>违反磋商文件中载明其他无效投标（报价）或响应文件将被否决的情形条款规定。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54" w:hRule="atLeast"/>
          <w:tblCellSpacing w:w="0" w:type="dxa"/>
          <w:jc w:val="center"/>
        </w:trPr>
        <w:tc>
          <w:tcPr>
            <w:tcW w:w="9760" w:type="dxa"/>
            <w:vAlign w:val="center"/>
          </w:tcPr>
          <w:p>
            <w:pPr>
              <w:keepNext w:val="0"/>
              <w:keepLines w:val="0"/>
              <w:widowControl/>
              <w:suppressLineNumbers w:val="0"/>
              <w:spacing w:before="0" w:beforeAutospacing="0" w:after="0" w:afterAutospacing="0"/>
              <w:ind w:left="0" w:right="0"/>
              <w:jc w:val="left"/>
              <w:rPr>
                <w:rFonts w:hint="default" w:ascii="宋体" w:hAnsi="宋体" w:cs="宋体"/>
                <w:color w:val="auto"/>
                <w:kern w:val="0"/>
                <w:szCs w:val="21"/>
                <w:highlight w:val="none"/>
                <w:lang w:bidi="ar"/>
              </w:rPr>
            </w:pPr>
            <w:r>
              <w:rPr>
                <w:rFonts w:hint="eastAsia" w:ascii="宋体" w:hAnsi="宋体" w:cs="宋体"/>
                <w:color w:val="auto"/>
                <w:kern w:val="0"/>
                <w:szCs w:val="21"/>
                <w:highlight w:val="none"/>
              </w:rPr>
              <w:t>供应商未按要求提供以下材料：（1）本次拟采购产品若有属国家强制性认证（CCC）产品的，供应商必须在响应文件中承诺所报价产品具有国家强制性认证（CCC）证书（直接在响应文件中提供对应证书复印件亦可,“自我声明符合性信息报送系统”生成“强制性认证产品符合性自我声明”视同获得强制性产品认证证书），并在货物验收时提供国家强制性3C认证证书。（2）若属于政府强制采购节能产品的，根据《财政部、发展改革委、生态环境部、市场监督总局关于调整优化节能产品、环境标志产品政府采购执行机制的通知》（财库〔2019〕9号）的规定，按最新《关于印发节能产品政府采购品目清单的通知》执行，并在响应文件中提供国家确定的认证机构出具的、处于有效期之内的节能产品认证证书复印件。（3）若属于《信息安全产品强制性认证目录》内的信息安全产品的，必须在响应文件中附上产品的相关证明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54" w:hRule="atLeast"/>
          <w:tblCellSpacing w:w="0" w:type="dxa"/>
          <w:jc w:val="center"/>
        </w:trPr>
        <w:tc>
          <w:tcPr>
            <w:tcW w:w="9760" w:type="dxa"/>
            <w:vAlign w:val="center"/>
          </w:tcPr>
          <w:p>
            <w:pPr>
              <w:keepNext w:val="0"/>
              <w:keepLines w:val="0"/>
              <w:widowControl/>
              <w:suppressLineNumbers w:val="0"/>
              <w:spacing w:before="0" w:beforeAutospacing="0" w:after="0" w:afterAutospacing="0"/>
              <w:ind w:left="0" w:right="0"/>
              <w:jc w:val="left"/>
              <w:rPr>
                <w:rFonts w:hint="default" w:ascii="宋体" w:hAnsi="宋体" w:cs="宋体"/>
                <w:color w:val="auto"/>
                <w:szCs w:val="21"/>
                <w:highlight w:val="none"/>
              </w:rPr>
            </w:pPr>
            <w:r>
              <w:rPr>
                <w:rFonts w:hint="eastAsia" w:ascii="宋体" w:hAnsi="宋体" w:cs="宋体"/>
                <w:color w:val="auto"/>
                <w:kern w:val="0"/>
                <w:szCs w:val="21"/>
                <w:highlight w:val="none"/>
                <w:lang w:bidi="ar"/>
              </w:rPr>
              <w:t>《采购内容及要求》中以“★”标示的实质性内容存在负偏离（不满足）的。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54" w:hRule="atLeast"/>
          <w:tblCellSpacing w:w="0" w:type="dxa"/>
          <w:jc w:val="center"/>
        </w:trPr>
        <w:tc>
          <w:tcPr>
            <w:tcW w:w="9760" w:type="dxa"/>
            <w:vAlign w:val="center"/>
          </w:tcPr>
          <w:p>
            <w:pPr>
              <w:keepNext w:val="0"/>
              <w:keepLines w:val="0"/>
              <w:widowControl/>
              <w:suppressLineNumbers w:val="0"/>
              <w:spacing w:before="0" w:beforeAutospacing="0" w:after="0" w:afterAutospacing="0"/>
              <w:ind w:left="0" w:right="0"/>
              <w:jc w:val="left"/>
              <w:rPr>
                <w:rFonts w:hint="default" w:ascii="宋体" w:hAnsi="宋体" w:cs="宋体"/>
                <w:color w:val="auto"/>
                <w:kern w:val="0"/>
                <w:szCs w:val="21"/>
                <w:highlight w:val="none"/>
                <w:lang w:bidi="ar"/>
              </w:rPr>
            </w:pPr>
            <w:r>
              <w:rPr>
                <w:rFonts w:hint="eastAsia" w:ascii="宋体" w:hAnsi="宋体" w:cs="宋体"/>
                <w:color w:val="auto"/>
                <w:kern w:val="0"/>
                <w:szCs w:val="21"/>
                <w:highlight w:val="none"/>
                <w:lang w:bidi="ar"/>
              </w:rPr>
              <w:t>不符合竞争性磋商文件中规定的其它实质性要求的条款。</w:t>
            </w:r>
          </w:p>
        </w:tc>
      </w:tr>
    </w:tbl>
    <w:p>
      <w:pPr>
        <w:pStyle w:val="12"/>
        <w:widowControl/>
        <w:spacing w:before="75" w:beforeAutospacing="0" w:after="75" w:afterAutospacing="0" w:line="435" w:lineRule="atLeast"/>
        <w:rPr>
          <w:rFonts w:ascii="宋体" w:hAnsi="宋体" w:cs="宋体"/>
          <w:color w:val="auto"/>
          <w:sz w:val="21"/>
          <w:szCs w:val="21"/>
          <w:highlight w:val="none"/>
        </w:rPr>
      </w:pPr>
      <w:r>
        <w:rPr>
          <w:rFonts w:hint="eastAsia" w:ascii="宋体" w:hAnsi="宋体" w:cs="宋体"/>
          <w:color w:val="auto"/>
          <w:sz w:val="21"/>
          <w:szCs w:val="21"/>
          <w:highlight w:val="none"/>
        </w:rPr>
        <w:t>   磋商小组决定供应商的响应性只根据响应文件本身的内容，而不寻求其他的外部证据。</w:t>
      </w:r>
    </w:p>
    <w:p>
      <w:pPr>
        <w:pStyle w:val="12"/>
        <w:widowControl/>
        <w:spacing w:before="75" w:beforeAutospacing="0" w:after="75" w:afterAutospacing="0" w:line="435" w:lineRule="atLeast"/>
        <w:rPr>
          <w:rFonts w:ascii="宋体" w:hAnsi="宋体" w:cs="宋体"/>
          <w:color w:val="auto"/>
          <w:sz w:val="21"/>
          <w:szCs w:val="21"/>
          <w:highlight w:val="none"/>
        </w:rPr>
      </w:pPr>
      <w:r>
        <w:rPr>
          <w:rFonts w:hint="eastAsia" w:ascii="宋体" w:hAnsi="宋体" w:cs="宋体"/>
          <w:color w:val="auto"/>
          <w:sz w:val="21"/>
          <w:szCs w:val="21"/>
          <w:highlight w:val="none"/>
        </w:rPr>
        <w:t>  14.3磋商小组在对供应商进行响应文件资格审查、实质响应性审查时，可以要求供应商对响应文件中含义不明确、同类问题表述不一致或者有明显文字和计算错误的内容等作出必要的澄清、说明或者更正。供应商的澄清、说明或者更正不得超出响应文件的范围或者改变响应文件的实质性内容。磋商小组要求供应商澄清、说明或者更正响应文件应当以书面形式作出。</w:t>
      </w:r>
    </w:p>
    <w:p>
      <w:pPr>
        <w:pStyle w:val="12"/>
        <w:widowControl/>
        <w:spacing w:before="75" w:beforeAutospacing="0" w:after="75" w:afterAutospacing="0" w:line="435" w:lineRule="atLeast"/>
        <w:rPr>
          <w:rFonts w:ascii="宋体" w:hAnsi="宋体" w:cs="宋体"/>
          <w:color w:val="auto"/>
          <w:sz w:val="21"/>
          <w:szCs w:val="21"/>
          <w:highlight w:val="none"/>
        </w:rPr>
      </w:pPr>
      <w:r>
        <w:rPr>
          <w:rFonts w:hint="eastAsia" w:ascii="宋体" w:hAnsi="宋体" w:cs="宋体"/>
          <w:color w:val="auto"/>
          <w:sz w:val="21"/>
          <w:szCs w:val="21"/>
          <w:highlight w:val="none"/>
        </w:rPr>
        <w:t>  14.4只有资格审查和实质性响应审查合格的供应商才能进入磋商阶段。磋商小组所有成员将集中与单一供应商分别进行磋商，并给予所有参加磋商的合格供应商平等的磋商机会。磋商过程中，磋商小组可以根据磋商文件和磋商情况实质性变动采购需求中的技术、服务要求以及合同草案条款，但不得变动竞争性磋商文件中的其他内容。实质性变动的内容，须经采购人代表确认。磋商过程中对磋商文件作出的实质性变动是磋商文件的有效组成部分，磋商小组将及时以书面形式同时通知所有参加磋商的供应商。根据采购项目的特点和需要，在磋商过程中可能发生实质性变动的内容详见竞争性磋商须知前附表。</w:t>
      </w:r>
    </w:p>
    <w:p>
      <w:pPr>
        <w:pStyle w:val="12"/>
        <w:widowControl/>
        <w:spacing w:before="75" w:beforeAutospacing="0" w:after="75" w:afterAutospacing="0" w:line="435" w:lineRule="atLeast"/>
        <w:rPr>
          <w:rFonts w:ascii="宋体" w:hAnsi="宋体" w:cs="宋体"/>
          <w:color w:val="auto"/>
          <w:sz w:val="21"/>
          <w:szCs w:val="21"/>
          <w:highlight w:val="none"/>
        </w:rPr>
      </w:pPr>
      <w:r>
        <w:rPr>
          <w:rFonts w:hint="eastAsia" w:ascii="宋体" w:hAnsi="宋体" w:cs="宋体"/>
          <w:color w:val="auto"/>
          <w:sz w:val="21"/>
          <w:szCs w:val="21"/>
          <w:highlight w:val="none"/>
        </w:rPr>
        <w:t>  14.5合格供应商应当按照磋商文件的变动情况和磋商小组的要求提交补充响应文件（首次响应文件中已经提交过的如资格证明文件等资料，不用重新提供），并由供应商代表签字或加盖供应商单位公章。供应商代表如果不是竞争性磋商须知中定义的“单位负责人”，则还必须提供“单位负责人授权书”。供应商为自然人的，应当由本人签字并附身份证明。</w:t>
      </w:r>
    </w:p>
    <w:p>
      <w:pPr>
        <w:pStyle w:val="12"/>
        <w:widowControl/>
        <w:spacing w:before="75" w:beforeAutospacing="0" w:after="75" w:afterAutospacing="0" w:line="435" w:lineRule="atLeast"/>
        <w:rPr>
          <w:rFonts w:ascii="宋体" w:hAnsi="宋体" w:cs="宋体"/>
          <w:color w:val="auto"/>
          <w:sz w:val="21"/>
          <w:szCs w:val="21"/>
          <w:highlight w:val="none"/>
        </w:rPr>
      </w:pPr>
      <w:r>
        <w:rPr>
          <w:rFonts w:hint="eastAsia" w:ascii="宋体" w:hAnsi="宋体" w:cs="宋体"/>
          <w:color w:val="auto"/>
          <w:sz w:val="21"/>
          <w:szCs w:val="21"/>
          <w:highlight w:val="none"/>
        </w:rPr>
        <w:t>  14.6磋商文件能够详细列明采购标的的技术、服务要求的，磋商结束后，磋商小组应当要求所有实质性响应的合格供应商在规定时间内提交最后报价。属于《政府采购竞争性磋商采购方式管理暂行办法》等相关法律法规及财政部门颁布的规范性文件允许的两家供应商进行竞争性磋商采购情形，则提交最后报价的供应商可以为2家。</w:t>
      </w:r>
    </w:p>
    <w:p>
      <w:pPr>
        <w:pStyle w:val="12"/>
        <w:widowControl/>
        <w:spacing w:before="75" w:beforeAutospacing="0" w:after="75" w:afterAutospacing="0" w:line="435" w:lineRule="atLeast"/>
        <w:rPr>
          <w:rFonts w:ascii="宋体" w:hAnsi="宋体" w:cs="宋体"/>
          <w:color w:val="auto"/>
          <w:sz w:val="21"/>
          <w:szCs w:val="21"/>
          <w:highlight w:val="none"/>
        </w:rPr>
      </w:pPr>
      <w:r>
        <w:rPr>
          <w:rFonts w:hint="eastAsia" w:ascii="宋体" w:hAnsi="宋体" w:cs="宋体"/>
          <w:color w:val="auto"/>
          <w:sz w:val="21"/>
          <w:szCs w:val="21"/>
          <w:highlight w:val="none"/>
        </w:rPr>
        <w:t>  14.7磋商文件不能详细列明采购标的的技术、服务要求，需经磋商由供应商提供最终设计方案或解决方案的，磋商结束后，磋商小组应当按照少数服从多数的原则投票推荐3家及以上供应商的设计方案或者解决方案，具体推荐数量和投票细则等内容按照“竞争性磋商须知前附表”中专项附件：“评审的标准和方法”的相关条款规定执行，并要求其在规定时间内提交最后报价。属于《政府采购竞争性磋商采购方式管理暂行办法》等相关法律法规及财政部门颁布的规范性文件允许的两家供应商进行竞争性磋商采购情形，则提交最后报价的供应商可以为2家。</w:t>
      </w:r>
    </w:p>
    <w:p>
      <w:pPr>
        <w:pStyle w:val="12"/>
        <w:widowControl/>
        <w:spacing w:before="75" w:beforeAutospacing="0" w:after="75" w:afterAutospacing="0" w:line="435" w:lineRule="atLeast"/>
        <w:rPr>
          <w:rFonts w:ascii="宋体" w:hAnsi="宋体" w:cs="宋体"/>
          <w:color w:val="auto"/>
          <w:sz w:val="21"/>
          <w:szCs w:val="21"/>
          <w:highlight w:val="none"/>
        </w:rPr>
      </w:pPr>
      <w:r>
        <w:rPr>
          <w:rFonts w:hint="eastAsia" w:ascii="宋体" w:hAnsi="宋体" w:cs="宋体"/>
          <w:color w:val="auto"/>
          <w:sz w:val="21"/>
          <w:szCs w:val="21"/>
          <w:highlight w:val="none"/>
        </w:rPr>
        <w:t>  14.8最后报价是供应商响应文件的有效组成部分。如果供应商的最后报价明显低于其他最后报价，使得其最后报价有可能影响商品或服务质量或者不能诚信履约的，供应商应当按照磋商小组要求，在规定时间内作出书面说明，必要时提交相关证明材料；供应商不能合理说明其报价合理性的，磋商小组可以做无效响应文件和无效报价处理。</w:t>
      </w:r>
    </w:p>
    <w:p>
      <w:pPr>
        <w:pStyle w:val="12"/>
        <w:widowControl/>
        <w:spacing w:before="75" w:beforeAutospacing="0" w:after="75" w:afterAutospacing="0" w:line="435" w:lineRule="atLeast"/>
        <w:rPr>
          <w:rFonts w:ascii="宋体" w:hAnsi="宋体" w:cs="宋体"/>
          <w:color w:val="auto"/>
          <w:sz w:val="21"/>
          <w:szCs w:val="21"/>
          <w:highlight w:val="none"/>
        </w:rPr>
      </w:pPr>
      <w:r>
        <w:rPr>
          <w:rFonts w:hint="eastAsia" w:ascii="宋体" w:hAnsi="宋体" w:cs="宋体"/>
          <w:color w:val="auto"/>
          <w:sz w:val="21"/>
          <w:szCs w:val="21"/>
          <w:highlight w:val="none"/>
        </w:rPr>
        <w:t>  14.9磋商小组将采用综合评分法对提交最后报价的供应商的响应文件和最后报价进行综合评分，具体评审的标准和方法详见竞争性磋商须知前附表。磋商小组根据综合评分情况，按照评审得分由高到低顺序推荐3名及以上成交候选供应商，并编写评审报告。属于《政府采购竞争性磋商采购方式管理暂行办法》等相关法律法规及财政部门颁布的规范性文件允许的两家供应商进行竞争性磋商采购情形，则可以按照评审得分由高到低顺序推荐2名成交候选供应商。如果成交候选供应商出现并列相同的评审得分，则相应处理方式按照“竞争性磋商须知前附表”中专项附件：“评审的标准和方法”的相关条款规定执行。</w:t>
      </w:r>
    </w:p>
    <w:p>
      <w:pPr>
        <w:pStyle w:val="12"/>
        <w:widowControl/>
        <w:spacing w:before="75" w:beforeAutospacing="0" w:after="75" w:afterAutospacing="0" w:line="435" w:lineRule="atLeast"/>
        <w:rPr>
          <w:rFonts w:ascii="宋体" w:hAnsi="宋体" w:cs="宋体"/>
          <w:color w:val="auto"/>
          <w:sz w:val="21"/>
          <w:szCs w:val="21"/>
          <w:highlight w:val="none"/>
        </w:rPr>
      </w:pPr>
      <w:r>
        <w:rPr>
          <w:rFonts w:hint="eastAsia" w:ascii="宋体" w:hAnsi="宋体" w:cs="宋体"/>
          <w:color w:val="auto"/>
          <w:sz w:val="21"/>
          <w:szCs w:val="21"/>
          <w:highlight w:val="none"/>
        </w:rPr>
        <w:t>  14.10供应商提交的响应文件和资料将给予保密，但不退回（有关证件或证照的原件除外）。</w:t>
      </w:r>
    </w:p>
    <w:p>
      <w:pPr>
        <w:pStyle w:val="12"/>
        <w:widowControl/>
        <w:spacing w:before="75" w:beforeAutospacing="0" w:after="75" w:afterAutospacing="0" w:line="435" w:lineRule="atLeast"/>
        <w:jc w:val="center"/>
        <w:rPr>
          <w:rFonts w:ascii="宋体" w:hAnsi="宋体" w:cs="宋体"/>
          <w:color w:val="auto"/>
          <w:sz w:val="21"/>
          <w:szCs w:val="21"/>
          <w:highlight w:val="none"/>
        </w:rPr>
      </w:pPr>
      <w:r>
        <w:rPr>
          <w:rStyle w:val="18"/>
          <w:rFonts w:hint="eastAsia" w:ascii="宋体" w:hAnsi="宋体" w:cs="宋体"/>
          <w:color w:val="auto"/>
          <w:sz w:val="21"/>
          <w:szCs w:val="21"/>
          <w:highlight w:val="none"/>
        </w:rPr>
        <w:t>五、合同授予</w:t>
      </w:r>
    </w:p>
    <w:p>
      <w:pPr>
        <w:pStyle w:val="12"/>
        <w:widowControl/>
        <w:spacing w:before="75" w:beforeAutospacing="0" w:after="75" w:afterAutospacing="0" w:line="435" w:lineRule="atLeast"/>
        <w:jc w:val="center"/>
        <w:rPr>
          <w:rFonts w:ascii="宋体" w:hAnsi="宋体" w:cs="宋体"/>
          <w:color w:val="auto"/>
          <w:sz w:val="21"/>
          <w:szCs w:val="21"/>
          <w:highlight w:val="none"/>
        </w:rPr>
      </w:pPr>
      <w:r>
        <w:rPr>
          <w:rStyle w:val="18"/>
          <w:rFonts w:hint="eastAsia" w:ascii="宋体" w:hAnsi="宋体" w:cs="宋体"/>
          <w:color w:val="auto"/>
          <w:sz w:val="21"/>
          <w:szCs w:val="21"/>
          <w:highlight w:val="none"/>
        </w:rPr>
        <w:t> </w:t>
      </w:r>
    </w:p>
    <w:p>
      <w:pPr>
        <w:pStyle w:val="12"/>
        <w:widowControl/>
        <w:spacing w:before="75" w:beforeAutospacing="0" w:after="75" w:afterAutospacing="0" w:line="435" w:lineRule="atLeast"/>
        <w:rPr>
          <w:rFonts w:ascii="宋体" w:hAnsi="宋体" w:cs="宋体"/>
          <w:color w:val="auto"/>
          <w:sz w:val="21"/>
          <w:szCs w:val="21"/>
          <w:highlight w:val="none"/>
        </w:rPr>
      </w:pPr>
      <w:r>
        <w:rPr>
          <w:rStyle w:val="18"/>
          <w:rFonts w:hint="eastAsia" w:ascii="宋体" w:hAnsi="宋体" w:cs="宋体"/>
          <w:color w:val="auto"/>
          <w:sz w:val="21"/>
          <w:szCs w:val="21"/>
          <w:highlight w:val="none"/>
        </w:rPr>
        <w:t>15.授予合同的准则：</w:t>
      </w:r>
    </w:p>
    <w:p>
      <w:pPr>
        <w:pStyle w:val="12"/>
        <w:widowControl/>
        <w:spacing w:before="75" w:beforeAutospacing="0" w:after="75" w:afterAutospacing="0" w:line="435" w:lineRule="atLeast"/>
        <w:ind w:firstLine="480"/>
        <w:rPr>
          <w:rFonts w:ascii="宋体" w:hAnsi="宋体" w:cs="宋体"/>
          <w:color w:val="auto"/>
          <w:sz w:val="21"/>
          <w:szCs w:val="21"/>
          <w:highlight w:val="none"/>
        </w:rPr>
      </w:pPr>
      <w:r>
        <w:rPr>
          <w:rFonts w:hint="eastAsia" w:ascii="宋体" w:hAnsi="宋体" w:cs="宋体"/>
          <w:color w:val="auto"/>
          <w:sz w:val="21"/>
          <w:szCs w:val="21"/>
          <w:highlight w:val="none"/>
        </w:rPr>
        <w:t>15.1除不可抗力等因素外，合同将授予响应文件符合竞争性磋商文件要求，能够圆满地履行合同，且被磋商小组推荐为第一成交候选人的供应商。</w:t>
      </w:r>
    </w:p>
    <w:p>
      <w:pPr>
        <w:pStyle w:val="12"/>
        <w:widowControl/>
        <w:spacing w:before="75" w:beforeAutospacing="0" w:after="75" w:afterAutospacing="0" w:line="435" w:lineRule="atLeast"/>
        <w:ind w:firstLine="480"/>
        <w:rPr>
          <w:rFonts w:ascii="宋体" w:hAnsi="宋体" w:cs="宋体"/>
          <w:color w:val="auto"/>
          <w:sz w:val="21"/>
          <w:szCs w:val="21"/>
          <w:highlight w:val="none"/>
        </w:rPr>
      </w:pPr>
      <w:r>
        <w:rPr>
          <w:rFonts w:hint="eastAsia" w:ascii="宋体" w:hAnsi="宋体" w:cs="宋体"/>
          <w:color w:val="auto"/>
          <w:sz w:val="21"/>
          <w:szCs w:val="21"/>
          <w:highlight w:val="none"/>
        </w:rPr>
        <w:t>15.2 采购合同履行中，采购人需追加与合同标的相同的货物、工程或者服务的，在不改变合同其他条款的前提下，可以与成交人协商签订补充合同，但所有补充合同的采购金额不得超过原合同采购金额的百分之十。</w:t>
      </w:r>
    </w:p>
    <w:p>
      <w:pPr>
        <w:pStyle w:val="12"/>
        <w:widowControl/>
        <w:spacing w:before="75" w:beforeAutospacing="0" w:after="75" w:afterAutospacing="0" w:line="435" w:lineRule="atLeast"/>
        <w:ind w:firstLine="480"/>
        <w:rPr>
          <w:rFonts w:ascii="宋体" w:hAnsi="宋体" w:cs="宋体"/>
          <w:color w:val="auto"/>
          <w:sz w:val="21"/>
          <w:szCs w:val="21"/>
          <w:highlight w:val="none"/>
        </w:rPr>
      </w:pPr>
      <w:r>
        <w:rPr>
          <w:rFonts w:hint="eastAsia" w:ascii="宋体" w:hAnsi="宋体" w:cs="宋体"/>
          <w:color w:val="auto"/>
          <w:sz w:val="21"/>
          <w:szCs w:val="21"/>
          <w:highlight w:val="none"/>
        </w:rPr>
        <w:t>15.3为维护国家利益和社会公共利益，最低报价不是被授予合同的绝对保证。</w:t>
      </w:r>
    </w:p>
    <w:p>
      <w:pPr>
        <w:pStyle w:val="12"/>
        <w:widowControl/>
        <w:spacing w:before="75" w:beforeAutospacing="0" w:after="75" w:afterAutospacing="0" w:line="435" w:lineRule="atLeast"/>
        <w:rPr>
          <w:rFonts w:ascii="宋体" w:hAnsi="宋体" w:cs="宋体"/>
          <w:color w:val="auto"/>
          <w:sz w:val="21"/>
          <w:szCs w:val="21"/>
          <w:highlight w:val="none"/>
        </w:rPr>
      </w:pPr>
      <w:r>
        <w:rPr>
          <w:rStyle w:val="18"/>
          <w:rFonts w:hint="eastAsia" w:ascii="宋体" w:hAnsi="宋体" w:cs="宋体"/>
          <w:color w:val="auto"/>
          <w:sz w:val="21"/>
          <w:szCs w:val="21"/>
          <w:highlight w:val="none"/>
        </w:rPr>
        <w:t>16.确定成交供应商：</w:t>
      </w:r>
    </w:p>
    <w:p>
      <w:pPr>
        <w:pStyle w:val="12"/>
        <w:widowControl/>
        <w:spacing w:before="75" w:beforeAutospacing="0" w:after="75" w:afterAutospacing="0" w:line="435" w:lineRule="atLeast"/>
        <w:ind w:firstLine="480"/>
        <w:rPr>
          <w:rFonts w:ascii="宋体" w:hAnsi="宋体" w:cs="宋体"/>
          <w:color w:val="auto"/>
          <w:sz w:val="21"/>
          <w:szCs w:val="21"/>
          <w:highlight w:val="none"/>
        </w:rPr>
      </w:pPr>
      <w:r>
        <w:rPr>
          <w:rFonts w:hint="eastAsia" w:ascii="宋体" w:hAnsi="宋体" w:cs="宋体"/>
          <w:color w:val="auto"/>
          <w:sz w:val="21"/>
          <w:szCs w:val="21"/>
          <w:highlight w:val="none"/>
        </w:rPr>
        <w:t>16.1采购人委托代理机构组织竞争性磋商采购活动的，采购代理机构在评审结束后2个工作日内将评审报告送采购人确认。</w:t>
      </w:r>
    </w:p>
    <w:p>
      <w:pPr>
        <w:pStyle w:val="12"/>
        <w:widowControl/>
        <w:spacing w:before="75" w:beforeAutospacing="0" w:after="75" w:afterAutospacing="0" w:line="435" w:lineRule="atLeast"/>
        <w:ind w:firstLine="480"/>
        <w:rPr>
          <w:rFonts w:ascii="宋体" w:hAnsi="宋体" w:cs="宋体"/>
          <w:color w:val="auto"/>
          <w:sz w:val="21"/>
          <w:szCs w:val="21"/>
          <w:highlight w:val="none"/>
        </w:rPr>
      </w:pPr>
      <w:r>
        <w:rPr>
          <w:rFonts w:hint="eastAsia" w:ascii="宋体" w:hAnsi="宋体" w:cs="宋体"/>
          <w:color w:val="auto"/>
          <w:sz w:val="21"/>
          <w:szCs w:val="21"/>
          <w:highlight w:val="none"/>
        </w:rPr>
        <w:t>16.2采购人在收到评审报告后5个工作日内，从评审报告提出的成交候选人中，按照综合评分得分排序由高到低的原则确定成交人，也可以书面授权磋商小组直接确定成交人。采购人逾期未确定成交人且不提出异议的，视为确定评审报告提出的排序第一的供应商为成交人。</w:t>
      </w:r>
    </w:p>
    <w:p>
      <w:pPr>
        <w:pStyle w:val="12"/>
        <w:widowControl/>
        <w:spacing w:before="75" w:beforeAutospacing="0" w:after="75" w:afterAutospacing="0" w:line="435" w:lineRule="atLeast"/>
        <w:rPr>
          <w:rFonts w:ascii="宋体" w:hAnsi="宋体" w:cs="宋体"/>
          <w:color w:val="auto"/>
          <w:sz w:val="21"/>
          <w:szCs w:val="21"/>
          <w:highlight w:val="none"/>
        </w:rPr>
      </w:pPr>
      <w:r>
        <w:rPr>
          <w:rStyle w:val="18"/>
          <w:rFonts w:hint="eastAsia" w:ascii="宋体" w:hAnsi="宋体" w:cs="宋体"/>
          <w:color w:val="auto"/>
          <w:sz w:val="21"/>
          <w:szCs w:val="21"/>
          <w:highlight w:val="none"/>
        </w:rPr>
        <w:t>17.成交通知:</w:t>
      </w:r>
    </w:p>
    <w:p>
      <w:pPr>
        <w:pStyle w:val="12"/>
        <w:widowControl/>
        <w:spacing w:before="75" w:beforeAutospacing="0" w:after="75" w:afterAutospacing="0" w:line="435" w:lineRule="atLeast"/>
        <w:ind w:firstLine="480"/>
        <w:rPr>
          <w:rFonts w:ascii="宋体" w:hAnsi="宋体" w:cs="宋体"/>
          <w:color w:val="auto"/>
          <w:sz w:val="21"/>
          <w:szCs w:val="21"/>
          <w:highlight w:val="none"/>
        </w:rPr>
      </w:pPr>
      <w:r>
        <w:rPr>
          <w:rFonts w:hint="eastAsia" w:ascii="宋体" w:hAnsi="宋体" w:cs="宋体"/>
          <w:color w:val="auto"/>
          <w:sz w:val="21"/>
          <w:szCs w:val="21"/>
          <w:highlight w:val="none"/>
        </w:rPr>
        <w:t>17.1采购人或者采购代理机构在成交人确定后2个工作日内，在指定的媒体上公告成交结果，同时向成交人发出成交通知书。采用书面推荐供应商参加采购活动的，还将公告采购人和评审专家的推荐意见。</w:t>
      </w:r>
    </w:p>
    <w:p>
      <w:pPr>
        <w:pStyle w:val="12"/>
        <w:widowControl/>
        <w:spacing w:before="75" w:beforeAutospacing="0" w:after="75" w:afterAutospacing="0" w:line="435" w:lineRule="atLeast"/>
        <w:rPr>
          <w:rFonts w:ascii="宋体" w:hAnsi="宋体" w:cs="宋体"/>
          <w:color w:val="auto"/>
          <w:sz w:val="21"/>
          <w:szCs w:val="21"/>
          <w:highlight w:val="none"/>
        </w:rPr>
      </w:pPr>
      <w:r>
        <w:rPr>
          <w:rFonts w:hint="eastAsia" w:ascii="宋体" w:hAnsi="宋体" w:cs="宋体"/>
          <w:color w:val="auto"/>
          <w:sz w:val="21"/>
          <w:szCs w:val="21"/>
          <w:highlight w:val="none"/>
        </w:rPr>
        <w:t>  17.2成交通知书对采购人和成交人具有同等法律效力。除不可抗力因素或政策原因外，成交通知书发出后，采购人改变成交结果，或者成交人拒绝签订采购合同的，均应当承担相应的法律责任。未成交人对成交结果公告如果有异议的，应当自成交结果公告刊登之日起7个工作日内，以书面形式向采购人或采购代理机构提出质疑，有关质疑、投诉的相关规定和要求，按照《中华人民共和国政府采购法》、《中华人民共和国政府采购法实施条例》、有关法律法规的相关规定执行。</w:t>
      </w:r>
    </w:p>
    <w:p>
      <w:pPr>
        <w:pStyle w:val="12"/>
        <w:widowControl/>
        <w:spacing w:before="75" w:beforeAutospacing="0" w:after="75" w:afterAutospacing="0" w:line="435" w:lineRule="atLeast"/>
        <w:rPr>
          <w:rFonts w:ascii="宋体" w:hAnsi="宋体" w:cs="宋体"/>
          <w:color w:val="auto"/>
          <w:sz w:val="21"/>
          <w:szCs w:val="21"/>
          <w:highlight w:val="none"/>
        </w:rPr>
      </w:pPr>
      <w:r>
        <w:rPr>
          <w:rStyle w:val="18"/>
          <w:rFonts w:hint="eastAsia" w:ascii="宋体" w:hAnsi="宋体" w:cs="宋体"/>
          <w:color w:val="auto"/>
          <w:sz w:val="21"/>
          <w:szCs w:val="21"/>
          <w:highlight w:val="none"/>
        </w:rPr>
        <w:t>18.签订合同：</w:t>
      </w:r>
    </w:p>
    <w:p>
      <w:pPr>
        <w:pStyle w:val="12"/>
        <w:widowControl/>
        <w:spacing w:before="75" w:beforeAutospacing="0" w:after="75" w:afterAutospacing="0" w:line="435" w:lineRule="atLeast"/>
        <w:rPr>
          <w:rFonts w:ascii="宋体" w:hAnsi="宋体" w:cs="宋体"/>
          <w:color w:val="auto"/>
          <w:sz w:val="21"/>
          <w:szCs w:val="21"/>
          <w:highlight w:val="none"/>
        </w:rPr>
      </w:pPr>
      <w:r>
        <w:rPr>
          <w:rFonts w:hint="eastAsia" w:ascii="宋体" w:hAnsi="宋体" w:cs="宋体"/>
          <w:color w:val="auto"/>
          <w:sz w:val="21"/>
          <w:szCs w:val="21"/>
          <w:highlight w:val="none"/>
        </w:rPr>
        <w:t>  18.1采购人与成交人应当在成交通知书发出之日起30日内，按照采购文件确定的合同文本以及采购标的、规格型号、采购金额、采购数量、技术和服务要求等事项签订采购合同。根据项目的特点和需要，采购人如果对签订合同的时间期限、地点有特别要求的，可以在成交通知书中进一步明确，成交人应当按照成交通知书的规定和要求，及时与采购人签订合同。</w:t>
      </w:r>
    </w:p>
    <w:p>
      <w:pPr>
        <w:pStyle w:val="12"/>
        <w:widowControl/>
        <w:spacing w:before="75" w:beforeAutospacing="0" w:after="75" w:afterAutospacing="0" w:line="435" w:lineRule="atLeast"/>
        <w:rPr>
          <w:rFonts w:ascii="宋体" w:hAnsi="宋体" w:cs="宋体"/>
          <w:color w:val="auto"/>
          <w:sz w:val="21"/>
          <w:szCs w:val="21"/>
          <w:highlight w:val="none"/>
        </w:rPr>
      </w:pPr>
      <w:r>
        <w:rPr>
          <w:rFonts w:hint="eastAsia" w:ascii="宋体" w:hAnsi="宋体" w:cs="宋体"/>
          <w:color w:val="auto"/>
          <w:sz w:val="21"/>
          <w:szCs w:val="21"/>
          <w:highlight w:val="none"/>
        </w:rPr>
        <w:t>  18.2竞争性磋商文件、成交人的响应文件及其有关澄清承诺文件等，均为签订采购合同的依据和组成部分。</w:t>
      </w:r>
    </w:p>
    <w:p>
      <w:pPr>
        <w:pStyle w:val="12"/>
        <w:widowControl/>
        <w:spacing w:before="75" w:beforeAutospacing="0" w:after="75" w:afterAutospacing="0" w:line="435" w:lineRule="atLeast"/>
        <w:rPr>
          <w:rFonts w:ascii="宋体" w:hAnsi="宋体" w:cs="宋体"/>
          <w:color w:val="auto"/>
          <w:sz w:val="21"/>
          <w:szCs w:val="21"/>
          <w:highlight w:val="none"/>
        </w:rPr>
      </w:pPr>
      <w:r>
        <w:rPr>
          <w:rFonts w:hint="eastAsia" w:ascii="宋体" w:hAnsi="宋体" w:cs="宋体"/>
          <w:color w:val="auto"/>
          <w:sz w:val="21"/>
          <w:szCs w:val="21"/>
          <w:highlight w:val="none"/>
        </w:rPr>
        <w:t>  18.3采购人不得向成交人提出超出竞争性磋商文件以外的任何要求作为签订合同的条件，不得与成交人订立背离竞争性磋商文件确定的合同文本以及采购标的、规格型号、采购金额、采购数量、技术和服务要求等实质性内容的协议。</w:t>
      </w:r>
    </w:p>
    <w:p>
      <w:pPr>
        <w:pStyle w:val="12"/>
        <w:widowControl/>
        <w:spacing w:before="75" w:beforeAutospacing="0" w:after="75" w:afterAutospacing="0" w:line="435" w:lineRule="atLeast"/>
        <w:ind w:firstLine="480"/>
        <w:rPr>
          <w:rFonts w:ascii="宋体" w:hAnsi="宋体" w:cs="宋体"/>
          <w:color w:val="auto"/>
          <w:sz w:val="21"/>
          <w:szCs w:val="21"/>
          <w:highlight w:val="none"/>
        </w:rPr>
      </w:pPr>
      <w:r>
        <w:rPr>
          <w:rFonts w:hint="eastAsia" w:ascii="宋体" w:hAnsi="宋体" w:cs="宋体"/>
          <w:color w:val="auto"/>
          <w:sz w:val="21"/>
          <w:szCs w:val="21"/>
          <w:highlight w:val="none"/>
        </w:rPr>
        <w:t> </w:t>
      </w:r>
    </w:p>
    <w:p>
      <w:pPr>
        <w:pStyle w:val="12"/>
        <w:widowControl/>
        <w:spacing w:before="75" w:beforeAutospacing="0" w:after="75" w:afterAutospacing="0" w:line="435" w:lineRule="atLeast"/>
        <w:jc w:val="center"/>
        <w:rPr>
          <w:rFonts w:ascii="宋体" w:hAnsi="宋体" w:cs="宋体"/>
          <w:color w:val="auto"/>
          <w:sz w:val="21"/>
          <w:szCs w:val="21"/>
          <w:highlight w:val="none"/>
        </w:rPr>
      </w:pPr>
      <w:r>
        <w:rPr>
          <w:rStyle w:val="18"/>
          <w:rFonts w:hint="eastAsia" w:ascii="宋体" w:hAnsi="宋体" w:cs="宋体"/>
          <w:color w:val="auto"/>
          <w:sz w:val="21"/>
          <w:szCs w:val="21"/>
          <w:highlight w:val="none"/>
        </w:rPr>
        <w:t>六、询问、质疑与投诉</w:t>
      </w:r>
    </w:p>
    <w:p>
      <w:pPr>
        <w:pStyle w:val="12"/>
        <w:widowControl/>
        <w:spacing w:before="75" w:beforeAutospacing="0" w:after="75" w:afterAutospacing="0" w:line="435" w:lineRule="atLeast"/>
        <w:rPr>
          <w:rFonts w:ascii="宋体" w:hAnsi="宋体" w:cs="宋体"/>
          <w:color w:val="auto"/>
          <w:sz w:val="21"/>
          <w:szCs w:val="21"/>
          <w:highlight w:val="none"/>
        </w:rPr>
      </w:pPr>
      <w:r>
        <w:rPr>
          <w:rStyle w:val="18"/>
          <w:rFonts w:hint="eastAsia" w:ascii="宋体" w:hAnsi="宋体" w:cs="宋体"/>
          <w:color w:val="auto"/>
          <w:sz w:val="21"/>
          <w:szCs w:val="21"/>
          <w:highlight w:val="none"/>
        </w:rPr>
        <w:t>19.询问</w:t>
      </w:r>
    </w:p>
    <w:p>
      <w:pPr>
        <w:pStyle w:val="12"/>
        <w:widowControl/>
        <w:spacing w:before="75" w:beforeAutospacing="0" w:after="75" w:afterAutospacing="0" w:line="435" w:lineRule="atLeast"/>
        <w:rPr>
          <w:rFonts w:ascii="宋体" w:hAnsi="宋体" w:cs="宋体"/>
          <w:color w:val="auto"/>
          <w:sz w:val="21"/>
          <w:szCs w:val="21"/>
          <w:highlight w:val="none"/>
        </w:rPr>
      </w:pPr>
      <w:r>
        <w:rPr>
          <w:rFonts w:hint="eastAsia" w:ascii="宋体" w:hAnsi="宋体" w:cs="宋体"/>
          <w:color w:val="auto"/>
          <w:sz w:val="21"/>
          <w:szCs w:val="21"/>
          <w:highlight w:val="none"/>
        </w:rPr>
        <w:t>  19.1潜在供应商或供应商对本次采购活动的有关事项若有疑问，可向采购人或采购代理机构提出询问，采购人或采购代理机构将按照政府采购法、实施条例及相关法律规章的有关规定进行答复。</w:t>
      </w:r>
    </w:p>
    <w:p>
      <w:pPr>
        <w:pStyle w:val="12"/>
        <w:widowControl/>
        <w:spacing w:before="75" w:beforeAutospacing="0" w:after="75" w:afterAutospacing="0" w:line="435" w:lineRule="atLeast"/>
        <w:rPr>
          <w:rFonts w:ascii="宋体" w:hAnsi="宋体" w:cs="宋体"/>
          <w:color w:val="auto"/>
          <w:sz w:val="21"/>
          <w:szCs w:val="21"/>
          <w:highlight w:val="none"/>
        </w:rPr>
      </w:pPr>
      <w:r>
        <w:rPr>
          <w:rStyle w:val="18"/>
          <w:rFonts w:hint="eastAsia" w:ascii="宋体" w:hAnsi="宋体" w:cs="宋体"/>
          <w:color w:val="auto"/>
          <w:sz w:val="21"/>
          <w:szCs w:val="21"/>
          <w:highlight w:val="none"/>
        </w:rPr>
        <w:t>20.质疑</w:t>
      </w:r>
    </w:p>
    <w:p>
      <w:pPr>
        <w:pStyle w:val="12"/>
        <w:widowControl/>
        <w:spacing w:before="75" w:beforeAutospacing="0" w:after="75" w:afterAutospacing="0" w:line="435" w:lineRule="atLeast"/>
        <w:rPr>
          <w:rFonts w:ascii="宋体" w:hAnsi="宋体" w:cs="宋体"/>
          <w:color w:val="auto"/>
          <w:sz w:val="21"/>
          <w:szCs w:val="21"/>
          <w:highlight w:val="none"/>
        </w:rPr>
      </w:pPr>
      <w:r>
        <w:rPr>
          <w:rFonts w:hint="eastAsia" w:ascii="宋体" w:hAnsi="宋体" w:cs="宋体"/>
          <w:color w:val="auto"/>
          <w:sz w:val="21"/>
          <w:szCs w:val="21"/>
          <w:highlight w:val="none"/>
        </w:rPr>
        <w:t>  20.1针对同一采购程序环节的质疑应在政府采购法及实施条例规定的时限内一次性提出，对一个项目的不同采购包提出质疑的，应当将各采购包质疑事项集中在一份质疑函中提出。质疑应在政府采购法、实施条例及相关法律规章规定的时效内提出，并符合下列条件：</w:t>
      </w:r>
    </w:p>
    <w:p>
      <w:pPr>
        <w:pStyle w:val="12"/>
        <w:widowControl/>
        <w:spacing w:before="75" w:beforeAutospacing="0" w:after="75" w:afterAutospacing="0" w:line="435" w:lineRule="atLeast"/>
        <w:rPr>
          <w:rFonts w:ascii="宋体" w:hAnsi="宋体" w:cs="宋体"/>
          <w:color w:val="auto"/>
          <w:sz w:val="21"/>
          <w:szCs w:val="21"/>
          <w:highlight w:val="none"/>
        </w:rPr>
      </w:pPr>
      <w:r>
        <w:rPr>
          <w:rFonts w:hint="eastAsia" w:ascii="宋体" w:hAnsi="宋体" w:cs="宋体"/>
          <w:color w:val="auto"/>
          <w:sz w:val="21"/>
          <w:szCs w:val="21"/>
          <w:highlight w:val="none"/>
        </w:rPr>
        <w:t>  20.1.1对磋商文件提出质疑的，质疑人应为潜在供应商，且两者的身份、名称等均应保持一致。对采购过程、结果提出质疑的，质疑人应为供应商，且两者的身份、名称等均应保持一致。提出质疑的供应商应当是直接参与所质疑项目采购活动的供应商。</w:t>
      </w:r>
    </w:p>
    <w:p>
      <w:pPr>
        <w:pStyle w:val="12"/>
        <w:widowControl/>
        <w:spacing w:before="75" w:beforeAutospacing="0" w:after="75" w:afterAutospacing="0" w:line="435" w:lineRule="atLeast"/>
        <w:rPr>
          <w:rFonts w:ascii="宋体" w:hAnsi="宋体" w:cs="宋体"/>
          <w:color w:val="auto"/>
          <w:sz w:val="21"/>
          <w:szCs w:val="21"/>
          <w:highlight w:val="none"/>
        </w:rPr>
      </w:pPr>
      <w:r>
        <w:rPr>
          <w:rFonts w:hint="eastAsia" w:ascii="宋体" w:hAnsi="宋体" w:cs="宋体"/>
          <w:color w:val="auto"/>
          <w:sz w:val="21"/>
          <w:szCs w:val="21"/>
          <w:highlight w:val="none"/>
        </w:rPr>
        <w:t>  20.1.2质疑人应提交质疑函原件。</w:t>
      </w:r>
    </w:p>
    <w:p>
      <w:pPr>
        <w:pStyle w:val="12"/>
        <w:widowControl/>
        <w:spacing w:before="75" w:beforeAutospacing="0" w:after="75" w:afterAutospacing="0" w:line="435" w:lineRule="atLeast"/>
        <w:rPr>
          <w:rFonts w:ascii="宋体" w:hAnsi="宋体" w:cs="宋体"/>
          <w:color w:val="auto"/>
          <w:sz w:val="21"/>
          <w:szCs w:val="21"/>
          <w:highlight w:val="none"/>
        </w:rPr>
      </w:pPr>
      <w:r>
        <w:rPr>
          <w:rFonts w:hint="eastAsia" w:ascii="宋体" w:hAnsi="宋体" w:cs="宋体"/>
          <w:color w:val="auto"/>
          <w:sz w:val="21"/>
          <w:szCs w:val="21"/>
          <w:highlight w:val="none"/>
        </w:rPr>
        <w:t>  20.1.3质疑函应包括下列主要内容：</w:t>
      </w:r>
    </w:p>
    <w:p>
      <w:pPr>
        <w:pStyle w:val="12"/>
        <w:widowControl/>
        <w:spacing w:before="75" w:beforeAutospacing="0" w:after="75" w:afterAutospacing="0" w:line="435" w:lineRule="atLeast"/>
        <w:rPr>
          <w:rFonts w:ascii="宋体" w:hAnsi="宋体" w:cs="宋体"/>
          <w:color w:val="auto"/>
          <w:sz w:val="21"/>
          <w:szCs w:val="21"/>
          <w:highlight w:val="none"/>
        </w:rPr>
      </w:pPr>
      <w:r>
        <w:rPr>
          <w:rFonts w:hint="eastAsia" w:ascii="宋体" w:hAnsi="宋体" w:cs="宋体"/>
          <w:color w:val="auto"/>
          <w:sz w:val="21"/>
          <w:szCs w:val="21"/>
          <w:highlight w:val="none"/>
        </w:rPr>
        <w:t>  ①质疑人的基本信息，至少包括：全称、地址、邮政编码、联系人及联系电话等；适合自然人参加磋商的采购项目且质疑人为自然人的，质疑人提供本人的身份证复印件。质疑人为法人或其他组织的，提供统一社会信用代码营业执照或者组织机构登记证件复印件、单位负责人的身份证复印件；质疑人代表为委托代理人的，还应同时提供单位负责人授权书和委托代理人的身份证复印件。</w:t>
      </w:r>
    </w:p>
    <w:p>
      <w:pPr>
        <w:pStyle w:val="12"/>
        <w:widowControl/>
        <w:spacing w:before="75" w:beforeAutospacing="0" w:after="75" w:afterAutospacing="0" w:line="435" w:lineRule="atLeast"/>
        <w:rPr>
          <w:rFonts w:ascii="宋体" w:hAnsi="宋体" w:cs="宋体"/>
          <w:color w:val="auto"/>
          <w:sz w:val="21"/>
          <w:szCs w:val="21"/>
          <w:highlight w:val="none"/>
        </w:rPr>
      </w:pPr>
      <w:r>
        <w:rPr>
          <w:rFonts w:hint="eastAsia" w:ascii="宋体" w:hAnsi="宋体" w:cs="宋体"/>
          <w:color w:val="auto"/>
          <w:sz w:val="21"/>
          <w:szCs w:val="21"/>
          <w:highlight w:val="none"/>
        </w:rPr>
        <w:t>  ②所质疑项目的基本信息，至少包括：项目编号、项目名称等；</w:t>
      </w:r>
    </w:p>
    <w:p>
      <w:pPr>
        <w:pStyle w:val="12"/>
        <w:widowControl/>
        <w:spacing w:before="75" w:beforeAutospacing="0" w:after="75" w:afterAutospacing="0" w:line="435" w:lineRule="atLeast"/>
        <w:rPr>
          <w:rFonts w:ascii="宋体" w:hAnsi="宋体" w:cs="宋体"/>
          <w:color w:val="auto"/>
          <w:sz w:val="21"/>
          <w:szCs w:val="21"/>
          <w:highlight w:val="none"/>
        </w:rPr>
      </w:pPr>
      <w:r>
        <w:rPr>
          <w:rFonts w:hint="eastAsia" w:ascii="宋体" w:hAnsi="宋体" w:cs="宋体"/>
          <w:color w:val="auto"/>
          <w:sz w:val="21"/>
          <w:szCs w:val="21"/>
          <w:highlight w:val="none"/>
        </w:rPr>
        <w:t>  ③所质疑的具体事项（以下简称：“质疑事项”）；</w:t>
      </w:r>
    </w:p>
    <w:p>
      <w:pPr>
        <w:pStyle w:val="12"/>
        <w:widowControl/>
        <w:spacing w:before="75" w:beforeAutospacing="0" w:after="75" w:afterAutospacing="0" w:line="435" w:lineRule="atLeast"/>
        <w:rPr>
          <w:rFonts w:ascii="宋体" w:hAnsi="宋体" w:cs="宋体"/>
          <w:color w:val="auto"/>
          <w:sz w:val="21"/>
          <w:szCs w:val="21"/>
          <w:highlight w:val="none"/>
        </w:rPr>
      </w:pPr>
      <w:r>
        <w:rPr>
          <w:rFonts w:hint="eastAsia" w:ascii="宋体" w:hAnsi="宋体" w:cs="宋体"/>
          <w:color w:val="auto"/>
          <w:sz w:val="21"/>
          <w:szCs w:val="21"/>
          <w:highlight w:val="none"/>
        </w:rPr>
        <w:t>  ④质疑人自身权益受到损害的事实依据和证明材料，至少包括：</w:t>
      </w:r>
    </w:p>
    <w:p>
      <w:pPr>
        <w:pStyle w:val="12"/>
        <w:widowControl/>
        <w:spacing w:before="75" w:beforeAutospacing="0" w:after="75" w:afterAutospacing="0" w:line="435" w:lineRule="atLeast"/>
        <w:ind w:firstLine="480"/>
        <w:rPr>
          <w:rFonts w:ascii="宋体" w:hAnsi="宋体" w:cs="宋体"/>
          <w:color w:val="auto"/>
          <w:sz w:val="21"/>
          <w:szCs w:val="21"/>
          <w:highlight w:val="none"/>
        </w:rPr>
      </w:pPr>
      <w:r>
        <w:rPr>
          <w:rFonts w:hint="eastAsia" w:ascii="宋体" w:hAnsi="宋体" w:cs="宋体"/>
          <w:color w:val="auto"/>
          <w:sz w:val="21"/>
          <w:szCs w:val="21"/>
          <w:highlight w:val="none"/>
        </w:rPr>
        <w:t>a1所质疑的具体事项事实存在的证明材料；</w:t>
      </w:r>
    </w:p>
    <w:p>
      <w:pPr>
        <w:pStyle w:val="12"/>
        <w:widowControl/>
        <w:spacing w:before="75" w:beforeAutospacing="0" w:after="75" w:afterAutospacing="0" w:line="435" w:lineRule="atLeast"/>
        <w:ind w:firstLine="480"/>
        <w:rPr>
          <w:rFonts w:ascii="宋体" w:hAnsi="宋体" w:cs="宋体"/>
          <w:color w:val="auto"/>
          <w:sz w:val="21"/>
          <w:szCs w:val="21"/>
          <w:highlight w:val="none"/>
        </w:rPr>
      </w:pPr>
      <w:r>
        <w:rPr>
          <w:rFonts w:hint="eastAsia" w:ascii="宋体" w:hAnsi="宋体" w:cs="宋体"/>
          <w:color w:val="auto"/>
          <w:sz w:val="21"/>
          <w:szCs w:val="21"/>
          <w:highlight w:val="none"/>
        </w:rPr>
        <w:t>a2所质疑的具体事项事实导致质疑人自身权益受到损害的证明材料，如：采购文件、采购过程或成交结果违法违规，损害自已合法权益等证明材料；</w:t>
      </w:r>
    </w:p>
    <w:p>
      <w:pPr>
        <w:pStyle w:val="12"/>
        <w:widowControl/>
        <w:spacing w:before="75" w:beforeAutospacing="0" w:after="75" w:afterAutospacing="0" w:line="435" w:lineRule="atLeast"/>
        <w:rPr>
          <w:rFonts w:ascii="宋体" w:hAnsi="宋体" w:cs="宋体"/>
          <w:color w:val="auto"/>
          <w:sz w:val="21"/>
          <w:szCs w:val="21"/>
          <w:highlight w:val="none"/>
        </w:rPr>
      </w:pPr>
      <w:r>
        <w:rPr>
          <w:rFonts w:hint="eastAsia" w:ascii="宋体" w:hAnsi="宋体" w:cs="宋体"/>
          <w:color w:val="auto"/>
          <w:sz w:val="21"/>
          <w:szCs w:val="21"/>
          <w:highlight w:val="none"/>
        </w:rPr>
        <w:t>   备注：若质疑的具体事项按照有关法律、法规和规章规定处于应当保密阶段，则应提供信息或证明材料为合法或公开渠道获得的有效证据（若证据无法有效表明信息或证明材料为合法或公开渠道获得，则前述信息或证明材料视为无效）。</w:t>
      </w:r>
    </w:p>
    <w:p>
      <w:pPr>
        <w:pStyle w:val="12"/>
        <w:widowControl/>
        <w:spacing w:before="75" w:beforeAutospacing="0" w:after="75" w:afterAutospacing="0" w:line="435" w:lineRule="atLeast"/>
        <w:rPr>
          <w:rFonts w:ascii="宋体" w:hAnsi="宋体" w:cs="宋体"/>
          <w:color w:val="auto"/>
          <w:sz w:val="21"/>
          <w:szCs w:val="21"/>
          <w:highlight w:val="none"/>
        </w:rPr>
      </w:pPr>
      <w:r>
        <w:rPr>
          <w:rFonts w:hint="eastAsia" w:ascii="宋体" w:hAnsi="宋体" w:cs="宋体"/>
          <w:color w:val="auto"/>
          <w:sz w:val="21"/>
          <w:szCs w:val="21"/>
          <w:highlight w:val="none"/>
        </w:rPr>
        <w:t>  ⑤针对质疑事项提出的明确请求和法律依据，</w:t>
      </w:r>
    </w:p>
    <w:p>
      <w:pPr>
        <w:pStyle w:val="12"/>
        <w:widowControl/>
        <w:spacing w:before="75" w:beforeAutospacing="0" w:after="75" w:afterAutospacing="0" w:line="435" w:lineRule="atLeast"/>
        <w:ind w:firstLine="480"/>
        <w:rPr>
          <w:rFonts w:ascii="宋体" w:hAnsi="宋体" w:cs="宋体"/>
          <w:color w:val="auto"/>
          <w:sz w:val="21"/>
          <w:szCs w:val="21"/>
          <w:highlight w:val="none"/>
        </w:rPr>
      </w:pPr>
      <w:r>
        <w:rPr>
          <w:rFonts w:hint="eastAsia" w:ascii="宋体" w:hAnsi="宋体" w:cs="宋体"/>
          <w:color w:val="auto"/>
          <w:sz w:val="21"/>
          <w:szCs w:val="21"/>
          <w:highlight w:val="none"/>
        </w:rPr>
        <w:t>前述明确请求指质疑人提出质疑的目的、希望采购人或采购代理机构对其质疑作出的处理结果，如：暂停采购活动、修改磋商文件、停止或纠正违法违规行为、成交结果无效、废标、重新采购等，质疑人提出质疑请求还应当对相应的法律依据进行说明。</w:t>
      </w:r>
    </w:p>
    <w:p>
      <w:pPr>
        <w:pStyle w:val="12"/>
        <w:widowControl/>
        <w:spacing w:before="75" w:beforeAutospacing="0" w:after="75" w:afterAutospacing="0" w:line="435" w:lineRule="atLeast"/>
        <w:rPr>
          <w:rFonts w:ascii="宋体" w:hAnsi="宋体" w:cs="宋体"/>
          <w:color w:val="auto"/>
          <w:sz w:val="21"/>
          <w:szCs w:val="21"/>
          <w:highlight w:val="none"/>
        </w:rPr>
      </w:pPr>
      <w:r>
        <w:rPr>
          <w:rFonts w:hint="eastAsia" w:ascii="宋体" w:hAnsi="宋体" w:cs="宋体"/>
          <w:color w:val="auto"/>
          <w:sz w:val="21"/>
          <w:szCs w:val="21"/>
          <w:highlight w:val="none"/>
        </w:rPr>
        <w:t>  ⑥提出质疑的日期以及质疑人代表联系方式，至少包括：姓名、手机、电子信箱、邮寄地址等。</w:t>
      </w:r>
    </w:p>
    <w:p>
      <w:pPr>
        <w:pStyle w:val="12"/>
        <w:widowControl/>
        <w:spacing w:before="75" w:beforeAutospacing="0" w:after="75" w:afterAutospacing="0" w:line="435" w:lineRule="atLeast"/>
        <w:rPr>
          <w:rFonts w:ascii="宋体" w:hAnsi="宋体" w:cs="宋体"/>
          <w:color w:val="auto"/>
          <w:sz w:val="21"/>
          <w:szCs w:val="21"/>
          <w:highlight w:val="none"/>
        </w:rPr>
      </w:pPr>
      <w:r>
        <w:rPr>
          <w:rFonts w:hint="eastAsia" w:ascii="宋体" w:hAnsi="宋体" w:cs="宋体"/>
          <w:color w:val="auto"/>
          <w:sz w:val="21"/>
          <w:szCs w:val="21"/>
          <w:highlight w:val="none"/>
        </w:rPr>
        <w:t>  20.2对不符合前文第20.1条规定的质疑，采购人或采购代理机构将按照下列规定进行处理：</w:t>
      </w:r>
    </w:p>
    <w:p>
      <w:pPr>
        <w:pStyle w:val="12"/>
        <w:widowControl/>
        <w:spacing w:before="75" w:beforeAutospacing="0" w:after="75" w:afterAutospacing="0" w:line="435" w:lineRule="atLeast"/>
        <w:rPr>
          <w:rFonts w:ascii="宋体" w:hAnsi="宋体" w:cs="宋体"/>
          <w:color w:val="auto"/>
          <w:sz w:val="21"/>
          <w:szCs w:val="21"/>
          <w:highlight w:val="none"/>
        </w:rPr>
      </w:pPr>
      <w:r>
        <w:rPr>
          <w:rFonts w:hint="eastAsia" w:ascii="宋体" w:hAnsi="宋体" w:cs="宋体"/>
          <w:color w:val="auto"/>
          <w:sz w:val="21"/>
          <w:szCs w:val="21"/>
          <w:highlight w:val="none"/>
        </w:rPr>
        <w:t>  20.2.1超过质疑时效提交的或者质疑人不是直接参与所质疑项目采购活动的供应商，书面告知质疑人其质疑不成立的原因和理由。</w:t>
      </w:r>
    </w:p>
    <w:p>
      <w:pPr>
        <w:pStyle w:val="12"/>
        <w:widowControl/>
        <w:spacing w:before="75" w:beforeAutospacing="0" w:after="75" w:afterAutospacing="0" w:line="435" w:lineRule="atLeast"/>
        <w:rPr>
          <w:rFonts w:ascii="宋体" w:hAnsi="宋体" w:cs="宋体"/>
          <w:color w:val="auto"/>
          <w:sz w:val="21"/>
          <w:szCs w:val="21"/>
          <w:highlight w:val="none"/>
        </w:rPr>
      </w:pPr>
      <w:r>
        <w:rPr>
          <w:rFonts w:hint="eastAsia" w:ascii="宋体" w:hAnsi="宋体" w:cs="宋体"/>
          <w:color w:val="auto"/>
          <w:sz w:val="21"/>
          <w:szCs w:val="21"/>
          <w:highlight w:val="none"/>
        </w:rPr>
        <w:t>  20.2.2质疑函内容不符合规定的，告知质疑人修改、补充后在政府采购法及实施条例规定的时效内重新提交质疑函原件。质疑人拒不修改或补充的，则采购人或采购代理机构应当在质疑答复期内书面告知对方质疑不成立的原因和理由。</w:t>
      </w:r>
    </w:p>
    <w:p>
      <w:pPr>
        <w:pStyle w:val="12"/>
        <w:widowControl/>
        <w:spacing w:before="75" w:beforeAutospacing="0" w:after="75" w:afterAutospacing="0" w:line="435" w:lineRule="atLeast"/>
        <w:ind w:firstLine="480"/>
        <w:rPr>
          <w:rFonts w:ascii="宋体" w:hAnsi="宋体" w:cs="宋体"/>
          <w:color w:val="auto"/>
          <w:sz w:val="21"/>
          <w:szCs w:val="21"/>
          <w:highlight w:val="none"/>
        </w:rPr>
      </w:pPr>
      <w:r>
        <w:rPr>
          <w:rFonts w:hint="eastAsia" w:ascii="宋体" w:hAnsi="宋体" w:cs="宋体"/>
          <w:color w:val="auto"/>
          <w:sz w:val="21"/>
          <w:szCs w:val="21"/>
          <w:highlight w:val="none"/>
        </w:rPr>
        <w:t>20.2.3质疑人修改、补充质疑函超过质疑时效提交的按20.2.1款处理。供应商提交质疑函时，要认真阅读本章第20条关于质疑的相关规定，以免内容或资料不齐，需要修改补充而延误时间。</w:t>
      </w:r>
    </w:p>
    <w:p>
      <w:pPr>
        <w:pStyle w:val="12"/>
        <w:widowControl/>
        <w:spacing w:before="75" w:beforeAutospacing="0" w:after="75" w:afterAutospacing="0" w:line="435" w:lineRule="atLeast"/>
        <w:rPr>
          <w:rFonts w:ascii="宋体" w:hAnsi="宋体" w:cs="宋体"/>
          <w:color w:val="auto"/>
          <w:sz w:val="21"/>
          <w:szCs w:val="21"/>
          <w:highlight w:val="none"/>
        </w:rPr>
      </w:pPr>
      <w:r>
        <w:rPr>
          <w:rFonts w:hint="eastAsia" w:ascii="宋体" w:hAnsi="宋体" w:cs="宋体"/>
          <w:color w:val="auto"/>
          <w:sz w:val="21"/>
          <w:szCs w:val="21"/>
          <w:highlight w:val="none"/>
        </w:rPr>
        <w:t>  20.3对符合前文第20.1条规定的质疑，采购人或采购代理机构将按照政府采购法、实施条例及相关法律规章的有关规定进行答复。</w:t>
      </w:r>
    </w:p>
    <w:p>
      <w:pPr>
        <w:pStyle w:val="12"/>
        <w:widowControl/>
        <w:spacing w:before="75" w:beforeAutospacing="0" w:after="75" w:afterAutospacing="0" w:line="435" w:lineRule="atLeast"/>
        <w:rPr>
          <w:rFonts w:ascii="宋体" w:hAnsi="宋体" w:cs="宋体"/>
          <w:color w:val="auto"/>
          <w:sz w:val="21"/>
          <w:szCs w:val="21"/>
          <w:highlight w:val="none"/>
        </w:rPr>
      </w:pPr>
      <w:r>
        <w:rPr>
          <w:rStyle w:val="18"/>
          <w:rFonts w:hint="eastAsia" w:ascii="宋体" w:hAnsi="宋体" w:cs="宋体"/>
          <w:color w:val="auto"/>
          <w:sz w:val="21"/>
          <w:szCs w:val="21"/>
          <w:highlight w:val="none"/>
        </w:rPr>
        <w:t>21.投诉</w:t>
      </w:r>
    </w:p>
    <w:p>
      <w:pPr>
        <w:pStyle w:val="12"/>
        <w:widowControl/>
        <w:spacing w:before="75" w:beforeAutospacing="0" w:after="75" w:afterAutospacing="0" w:line="435" w:lineRule="atLeast"/>
        <w:rPr>
          <w:rFonts w:ascii="宋体" w:hAnsi="宋体" w:cs="宋体"/>
          <w:color w:val="auto"/>
          <w:sz w:val="21"/>
          <w:szCs w:val="21"/>
          <w:highlight w:val="none"/>
        </w:rPr>
      </w:pPr>
      <w:r>
        <w:rPr>
          <w:rFonts w:hint="eastAsia" w:ascii="宋体" w:hAnsi="宋体" w:cs="宋体"/>
          <w:color w:val="auto"/>
          <w:sz w:val="21"/>
          <w:szCs w:val="21"/>
          <w:highlight w:val="none"/>
        </w:rPr>
        <w:t>  21.1若对质疑答复不满意或质疑答复未在答复期限内作出，质疑人可在答复期限届满之日起15个工作日内向磋商文件中载明的监督管理部门投诉。</w:t>
      </w:r>
    </w:p>
    <w:p>
      <w:pPr>
        <w:pStyle w:val="12"/>
        <w:widowControl/>
        <w:spacing w:before="75" w:beforeAutospacing="0" w:after="75" w:afterAutospacing="0" w:line="435" w:lineRule="atLeast"/>
        <w:rPr>
          <w:rFonts w:ascii="宋体" w:hAnsi="宋体" w:cs="宋体"/>
          <w:color w:val="auto"/>
          <w:sz w:val="21"/>
          <w:szCs w:val="21"/>
          <w:highlight w:val="none"/>
        </w:rPr>
      </w:pPr>
      <w:r>
        <w:rPr>
          <w:rFonts w:hint="eastAsia" w:ascii="宋体" w:hAnsi="宋体" w:cs="宋体"/>
          <w:color w:val="auto"/>
          <w:sz w:val="21"/>
          <w:szCs w:val="21"/>
          <w:highlight w:val="none"/>
        </w:rPr>
        <w:t>  21.2投诉应有明确的请求和必要的证明材料，投诉的事项不得超出已质疑事项的范围。</w:t>
      </w:r>
    </w:p>
    <w:p>
      <w:pPr>
        <w:pStyle w:val="12"/>
        <w:widowControl/>
        <w:spacing w:before="75" w:beforeAutospacing="0" w:after="75" w:afterAutospacing="0" w:line="435" w:lineRule="atLeast"/>
        <w:rPr>
          <w:rFonts w:ascii="宋体" w:hAnsi="宋体" w:cs="宋体"/>
          <w:color w:val="auto"/>
          <w:sz w:val="21"/>
          <w:szCs w:val="21"/>
          <w:highlight w:val="none"/>
        </w:rPr>
      </w:pPr>
      <w:r>
        <w:rPr>
          <w:rFonts w:hint="eastAsia" w:ascii="宋体" w:hAnsi="宋体" w:cs="宋体"/>
          <w:color w:val="auto"/>
          <w:sz w:val="21"/>
          <w:szCs w:val="21"/>
          <w:highlight w:val="none"/>
        </w:rPr>
        <w:t> </w:t>
      </w:r>
    </w:p>
    <w:p>
      <w:pPr>
        <w:pStyle w:val="12"/>
        <w:widowControl/>
        <w:spacing w:before="75" w:beforeAutospacing="0" w:after="75" w:afterAutospacing="0" w:line="435" w:lineRule="atLeast"/>
        <w:jc w:val="center"/>
        <w:rPr>
          <w:rFonts w:ascii="宋体" w:hAnsi="宋体" w:cs="宋体"/>
          <w:color w:val="auto"/>
          <w:sz w:val="21"/>
          <w:szCs w:val="21"/>
          <w:highlight w:val="none"/>
        </w:rPr>
      </w:pPr>
      <w:r>
        <w:rPr>
          <w:rStyle w:val="18"/>
          <w:rFonts w:hint="eastAsia" w:ascii="宋体" w:hAnsi="宋体" w:cs="宋体"/>
          <w:color w:val="auto"/>
          <w:sz w:val="21"/>
          <w:szCs w:val="21"/>
          <w:highlight w:val="none"/>
        </w:rPr>
        <w:t>七、有关信息公告和监督部门</w:t>
      </w:r>
    </w:p>
    <w:p>
      <w:pPr>
        <w:pStyle w:val="12"/>
        <w:widowControl/>
        <w:spacing w:before="75" w:beforeAutospacing="0" w:after="75" w:afterAutospacing="0" w:line="435" w:lineRule="atLeast"/>
        <w:jc w:val="center"/>
        <w:rPr>
          <w:rFonts w:ascii="宋体" w:hAnsi="宋体" w:cs="宋体"/>
          <w:color w:val="auto"/>
          <w:sz w:val="21"/>
          <w:szCs w:val="21"/>
          <w:highlight w:val="none"/>
        </w:rPr>
      </w:pPr>
      <w:r>
        <w:rPr>
          <w:rStyle w:val="18"/>
          <w:rFonts w:hint="eastAsia" w:ascii="宋体" w:hAnsi="宋体" w:cs="宋体"/>
          <w:color w:val="auto"/>
          <w:sz w:val="21"/>
          <w:szCs w:val="21"/>
          <w:highlight w:val="none"/>
        </w:rPr>
        <w:t> </w:t>
      </w:r>
    </w:p>
    <w:p>
      <w:pPr>
        <w:pStyle w:val="12"/>
        <w:widowControl/>
        <w:spacing w:before="75" w:beforeAutospacing="0" w:after="75" w:afterAutospacing="0" w:line="435" w:lineRule="atLeast"/>
        <w:rPr>
          <w:rFonts w:ascii="宋体" w:hAnsi="宋体" w:cs="宋体"/>
          <w:color w:val="auto"/>
          <w:sz w:val="21"/>
          <w:szCs w:val="21"/>
          <w:highlight w:val="none"/>
        </w:rPr>
      </w:pPr>
      <w:r>
        <w:rPr>
          <w:rStyle w:val="18"/>
          <w:rFonts w:hint="eastAsia" w:ascii="宋体" w:hAnsi="宋体" w:cs="宋体"/>
          <w:color w:val="auto"/>
          <w:sz w:val="21"/>
          <w:szCs w:val="21"/>
          <w:highlight w:val="none"/>
        </w:rPr>
        <w:t>22.采购信息公告媒体</w:t>
      </w:r>
    </w:p>
    <w:p>
      <w:pPr>
        <w:pStyle w:val="12"/>
        <w:widowControl/>
        <w:spacing w:before="75" w:beforeAutospacing="0" w:after="75" w:afterAutospacing="0" w:line="435" w:lineRule="atLeast"/>
        <w:rPr>
          <w:rFonts w:ascii="宋体" w:hAnsi="宋体" w:cs="宋体"/>
          <w:color w:val="auto"/>
          <w:sz w:val="21"/>
          <w:szCs w:val="21"/>
          <w:highlight w:val="none"/>
        </w:rPr>
      </w:pPr>
      <w:r>
        <w:rPr>
          <w:rFonts w:hint="eastAsia" w:ascii="宋体" w:hAnsi="宋体" w:cs="宋体"/>
          <w:color w:val="auto"/>
          <w:sz w:val="21"/>
          <w:szCs w:val="21"/>
          <w:highlight w:val="none"/>
        </w:rPr>
        <w:t>  22.1本项目的有关信息，包括但不限于采购公告、更正公告（若有）、磋商文件、磋商文件的澄清或修改（若有）、成交公告、终止公告（若有）、废标公告（若有）等都将在磋商文件载明的指定媒体发布。潜在供应商或供应商务必随时关注，以免遗漏，否则产生不利后果由其自行承担。</w:t>
      </w:r>
    </w:p>
    <w:p>
      <w:pPr>
        <w:pStyle w:val="12"/>
        <w:widowControl/>
        <w:spacing w:before="75" w:beforeAutospacing="0" w:after="75" w:afterAutospacing="0" w:line="435" w:lineRule="atLeast"/>
        <w:rPr>
          <w:rFonts w:ascii="宋体" w:hAnsi="宋体" w:cs="宋体"/>
          <w:color w:val="auto"/>
          <w:sz w:val="21"/>
          <w:szCs w:val="21"/>
          <w:highlight w:val="none"/>
        </w:rPr>
      </w:pPr>
      <w:r>
        <w:rPr>
          <w:rFonts w:hint="eastAsia" w:ascii="宋体" w:hAnsi="宋体" w:cs="宋体"/>
          <w:color w:val="auto"/>
          <w:sz w:val="21"/>
          <w:szCs w:val="21"/>
          <w:highlight w:val="none"/>
        </w:rPr>
        <w:t>  22.2信息公告指定媒体：详见竞争性磋商须知前附表。</w:t>
      </w:r>
    </w:p>
    <w:p>
      <w:pPr>
        <w:pStyle w:val="12"/>
        <w:widowControl/>
        <w:spacing w:before="75" w:beforeAutospacing="0" w:after="75" w:afterAutospacing="0" w:line="435" w:lineRule="atLeast"/>
        <w:rPr>
          <w:rFonts w:ascii="宋体" w:hAnsi="宋体" w:cs="宋体"/>
          <w:color w:val="auto"/>
          <w:sz w:val="21"/>
          <w:szCs w:val="21"/>
          <w:highlight w:val="none"/>
        </w:rPr>
      </w:pPr>
      <w:r>
        <w:rPr>
          <w:rStyle w:val="18"/>
          <w:rFonts w:hint="eastAsia" w:ascii="宋体" w:hAnsi="宋体" w:cs="宋体"/>
          <w:color w:val="auto"/>
          <w:sz w:val="21"/>
          <w:szCs w:val="21"/>
          <w:highlight w:val="none"/>
        </w:rPr>
        <w:t>23.监督管理部门</w:t>
      </w:r>
    </w:p>
    <w:p>
      <w:pPr>
        <w:pStyle w:val="12"/>
        <w:widowControl/>
        <w:spacing w:before="75" w:beforeAutospacing="0" w:after="75" w:afterAutospacing="0" w:line="435" w:lineRule="atLeast"/>
        <w:rPr>
          <w:rFonts w:ascii="宋体" w:hAnsi="宋体" w:cs="宋体"/>
          <w:color w:val="auto"/>
          <w:sz w:val="21"/>
          <w:szCs w:val="21"/>
          <w:highlight w:val="none"/>
        </w:rPr>
      </w:pPr>
      <w:r>
        <w:rPr>
          <w:rFonts w:hint="eastAsia" w:ascii="宋体" w:hAnsi="宋体" w:cs="宋体"/>
          <w:color w:val="auto"/>
          <w:sz w:val="21"/>
          <w:szCs w:val="21"/>
          <w:highlight w:val="none"/>
        </w:rPr>
        <w:t>  23.1磋商采购活动的监督管理部门详见竞争性磋商须知前附表。</w:t>
      </w:r>
    </w:p>
    <w:p>
      <w:pPr>
        <w:pStyle w:val="12"/>
        <w:widowControl/>
        <w:spacing w:before="75" w:beforeAutospacing="0" w:after="75" w:afterAutospacing="0" w:line="435" w:lineRule="atLeast"/>
        <w:jc w:val="center"/>
        <w:rPr>
          <w:rFonts w:ascii="宋体" w:hAnsi="宋体" w:cs="宋体"/>
          <w:color w:val="auto"/>
          <w:sz w:val="21"/>
          <w:szCs w:val="21"/>
          <w:highlight w:val="none"/>
        </w:rPr>
      </w:pPr>
      <w:r>
        <w:rPr>
          <w:rStyle w:val="18"/>
          <w:rFonts w:hint="eastAsia" w:ascii="宋体" w:hAnsi="宋体" w:cs="宋体"/>
          <w:color w:val="auto"/>
          <w:sz w:val="21"/>
          <w:szCs w:val="21"/>
          <w:highlight w:val="none"/>
        </w:rPr>
        <w:t> </w:t>
      </w:r>
    </w:p>
    <w:p>
      <w:pPr>
        <w:pStyle w:val="12"/>
        <w:widowControl/>
        <w:spacing w:before="75" w:beforeAutospacing="0" w:after="75" w:afterAutospacing="0" w:line="435" w:lineRule="atLeast"/>
        <w:jc w:val="center"/>
        <w:rPr>
          <w:rFonts w:ascii="宋体" w:hAnsi="宋体" w:cs="宋体"/>
          <w:color w:val="auto"/>
          <w:sz w:val="21"/>
          <w:szCs w:val="21"/>
          <w:highlight w:val="none"/>
        </w:rPr>
      </w:pPr>
      <w:r>
        <w:rPr>
          <w:rStyle w:val="18"/>
          <w:rFonts w:hint="eastAsia" w:ascii="宋体" w:hAnsi="宋体" w:cs="宋体"/>
          <w:color w:val="auto"/>
          <w:sz w:val="21"/>
          <w:szCs w:val="21"/>
          <w:highlight w:val="none"/>
        </w:rPr>
        <w:t>八、根据采购项目特点或政策需要补充的其他内容</w:t>
      </w:r>
    </w:p>
    <w:p>
      <w:pPr>
        <w:pStyle w:val="12"/>
        <w:widowControl/>
        <w:spacing w:before="75" w:beforeAutospacing="0" w:after="75" w:afterAutospacing="0" w:line="435" w:lineRule="atLeast"/>
        <w:rPr>
          <w:rFonts w:ascii="宋体" w:hAnsi="宋体" w:cs="宋体"/>
          <w:color w:val="auto"/>
          <w:sz w:val="21"/>
          <w:szCs w:val="21"/>
          <w:highlight w:val="none"/>
        </w:rPr>
      </w:pPr>
      <w:r>
        <w:rPr>
          <w:rFonts w:hint="eastAsia" w:ascii="宋体" w:hAnsi="宋体" w:cs="宋体"/>
          <w:color w:val="auto"/>
          <w:sz w:val="21"/>
          <w:szCs w:val="21"/>
          <w:highlight w:val="none"/>
        </w:rPr>
        <w:t> </w:t>
      </w:r>
    </w:p>
    <w:p>
      <w:pPr>
        <w:pStyle w:val="12"/>
        <w:widowControl/>
        <w:spacing w:before="75" w:beforeAutospacing="0" w:after="75" w:afterAutospacing="0" w:line="435" w:lineRule="atLeast"/>
        <w:rPr>
          <w:rFonts w:ascii="宋体" w:hAnsi="宋体" w:cs="宋体"/>
          <w:color w:val="auto"/>
          <w:sz w:val="21"/>
          <w:szCs w:val="21"/>
          <w:highlight w:val="none"/>
        </w:rPr>
      </w:pPr>
      <w:r>
        <w:rPr>
          <w:rStyle w:val="18"/>
          <w:rFonts w:hint="eastAsia" w:ascii="宋体" w:hAnsi="宋体" w:cs="宋体"/>
          <w:color w:val="auto"/>
          <w:sz w:val="21"/>
          <w:szCs w:val="21"/>
          <w:highlight w:val="none"/>
        </w:rPr>
        <w:t>24.履约保证金</w:t>
      </w:r>
    </w:p>
    <w:p>
      <w:pPr>
        <w:pStyle w:val="12"/>
        <w:widowControl/>
        <w:spacing w:before="75" w:beforeAutospacing="0" w:after="75" w:afterAutospacing="0" w:line="435" w:lineRule="atLeast"/>
        <w:rPr>
          <w:rFonts w:ascii="宋体" w:hAnsi="宋体" w:cs="宋体"/>
          <w:color w:val="auto"/>
          <w:sz w:val="21"/>
          <w:szCs w:val="21"/>
          <w:highlight w:val="none"/>
        </w:rPr>
      </w:pPr>
      <w:r>
        <w:rPr>
          <w:rFonts w:hint="eastAsia" w:ascii="宋体" w:hAnsi="宋体" w:cs="宋体"/>
          <w:color w:val="auto"/>
          <w:sz w:val="21"/>
          <w:szCs w:val="21"/>
          <w:highlight w:val="none"/>
        </w:rPr>
        <w:t> 24.1采购人可以根据项目特点和需要，确定是否要求成交人在合同签订前，按照磋商文件规定的时间、形式、金额提交履约保证金，履约保证金的数额不超过中标合同金额的10%，具体详见磋商须知前附表规定。</w:t>
      </w:r>
    </w:p>
    <w:p>
      <w:pPr>
        <w:pStyle w:val="12"/>
        <w:widowControl/>
        <w:spacing w:before="75" w:beforeAutospacing="0" w:after="75" w:afterAutospacing="0" w:line="435" w:lineRule="atLeast"/>
        <w:rPr>
          <w:rFonts w:ascii="宋体" w:hAnsi="宋体" w:cs="宋体"/>
          <w:color w:val="auto"/>
          <w:sz w:val="21"/>
          <w:szCs w:val="21"/>
          <w:highlight w:val="none"/>
        </w:rPr>
      </w:pPr>
      <w:r>
        <w:rPr>
          <w:rFonts w:hint="eastAsia" w:ascii="宋体" w:hAnsi="宋体" w:cs="宋体"/>
          <w:color w:val="auto"/>
          <w:sz w:val="21"/>
          <w:szCs w:val="21"/>
          <w:highlight w:val="none"/>
        </w:rPr>
        <w:t> 24.2磋商文件要求在合同签订前提交履约保证金，如果成交人无故拖延或者拒不提交履约保证金的，则视为成交人拒绝与采购人签订合同，该成交人将承担违法行为的法律责任。</w:t>
      </w:r>
    </w:p>
    <w:p>
      <w:pPr>
        <w:pStyle w:val="12"/>
        <w:widowControl/>
        <w:spacing w:before="75" w:beforeAutospacing="0" w:after="75" w:afterAutospacing="0" w:line="435" w:lineRule="atLeast"/>
        <w:rPr>
          <w:rFonts w:ascii="宋体" w:hAnsi="宋体" w:cs="宋体"/>
          <w:color w:val="auto"/>
          <w:sz w:val="21"/>
          <w:szCs w:val="21"/>
          <w:highlight w:val="none"/>
        </w:rPr>
      </w:pPr>
      <w:r>
        <w:rPr>
          <w:rStyle w:val="18"/>
          <w:rFonts w:hint="eastAsia" w:ascii="宋体" w:hAnsi="宋体" w:cs="宋体"/>
          <w:color w:val="auto"/>
          <w:sz w:val="21"/>
          <w:szCs w:val="21"/>
          <w:highlight w:val="none"/>
        </w:rPr>
        <w:t>25.其他新增内容：</w:t>
      </w:r>
    </w:p>
    <w:p>
      <w:pPr>
        <w:pStyle w:val="12"/>
        <w:widowControl/>
        <w:spacing w:before="75" w:beforeAutospacing="0" w:after="75" w:afterAutospacing="0"/>
        <w:ind w:firstLine="210" w:firstLineChars="100"/>
        <w:rPr>
          <w:rFonts w:hint="eastAsia" w:ascii="宋体" w:hAnsi="宋体" w:cs="宋体"/>
          <w:color w:val="auto"/>
          <w:sz w:val="21"/>
          <w:szCs w:val="21"/>
          <w:highlight w:val="none"/>
        </w:rPr>
      </w:pPr>
      <w:r>
        <w:rPr>
          <w:rFonts w:hint="eastAsia" w:ascii="宋体" w:hAnsi="宋体" w:eastAsia="宋体" w:cs="宋体"/>
          <w:color w:val="auto"/>
          <w:sz w:val="21"/>
          <w:szCs w:val="21"/>
          <w:highlight w:val="none"/>
          <w:lang w:val="en-US" w:eastAsia="zh-CN"/>
        </w:rPr>
        <w:t>25.1</w:t>
      </w:r>
      <w:r>
        <w:rPr>
          <w:rFonts w:hint="eastAsia" w:ascii="宋体" w:hAnsi="宋体" w:cs="宋体"/>
          <w:color w:val="auto"/>
          <w:sz w:val="21"/>
          <w:szCs w:val="21"/>
          <w:highlight w:val="none"/>
        </w:rPr>
        <w:t>关于相同品牌产品</w:t>
      </w:r>
      <w:r>
        <w:rPr>
          <w:rStyle w:val="18"/>
          <w:rFonts w:hint="eastAsia" w:ascii="宋体" w:hAnsi="宋体" w:cs="宋体"/>
          <w:color w:val="auto"/>
          <w:sz w:val="21"/>
          <w:szCs w:val="21"/>
          <w:highlight w:val="none"/>
        </w:rPr>
        <w:t>（</w:t>
      </w:r>
      <w:r>
        <w:rPr>
          <w:rStyle w:val="18"/>
          <w:rFonts w:hint="eastAsia" w:ascii="宋体" w:hAnsi="宋体" w:cs="宋体"/>
          <w:color w:val="auto"/>
          <w:sz w:val="21"/>
          <w:szCs w:val="21"/>
          <w:highlight w:val="none"/>
          <w:lang w:val="en-US" w:eastAsia="zh-CN"/>
        </w:rPr>
        <w:t>参照公开招标项目；</w:t>
      </w:r>
      <w:r>
        <w:rPr>
          <w:rStyle w:val="18"/>
          <w:rFonts w:hint="eastAsia" w:ascii="宋体" w:hAnsi="宋体" w:cs="宋体"/>
          <w:color w:val="auto"/>
          <w:sz w:val="21"/>
          <w:szCs w:val="21"/>
          <w:highlight w:val="none"/>
        </w:rPr>
        <w:t>采购服务类项目不适用本条款规定）</w:t>
      </w:r>
    </w:p>
    <w:p>
      <w:pPr>
        <w:pStyle w:val="12"/>
        <w:widowControl/>
        <w:spacing w:before="75" w:beforeAutospacing="0" w:after="75" w:afterAutospacing="0"/>
        <w:ind w:firstLine="480"/>
        <w:rPr>
          <w:rFonts w:hint="eastAsia" w:ascii="宋体" w:hAnsi="宋体" w:cs="宋体"/>
          <w:color w:val="auto"/>
          <w:sz w:val="21"/>
          <w:szCs w:val="21"/>
          <w:highlight w:val="none"/>
        </w:rPr>
      </w:pPr>
      <w:r>
        <w:rPr>
          <w:rFonts w:hint="eastAsia" w:ascii="宋体" w:hAnsi="宋体" w:cs="宋体"/>
          <w:color w:val="auto"/>
          <w:sz w:val="21"/>
          <w:szCs w:val="21"/>
          <w:highlight w:val="none"/>
        </w:rPr>
        <w:t>采用综合评分法的，提供相同品牌产品且通过资格审查、符合性审查的不同</w:t>
      </w:r>
      <w:r>
        <w:rPr>
          <w:rFonts w:hint="eastAsia" w:ascii="宋体" w:hAnsi="宋体" w:cs="宋体"/>
          <w:color w:val="auto"/>
          <w:sz w:val="21"/>
          <w:szCs w:val="21"/>
          <w:highlight w:val="none"/>
          <w:lang w:val="en-US" w:eastAsia="zh-CN"/>
        </w:rPr>
        <w:t>供应商</w:t>
      </w:r>
      <w:r>
        <w:rPr>
          <w:rFonts w:hint="eastAsia" w:ascii="宋体" w:hAnsi="宋体" w:cs="宋体"/>
          <w:color w:val="auto"/>
          <w:sz w:val="21"/>
          <w:szCs w:val="21"/>
          <w:highlight w:val="none"/>
        </w:rPr>
        <w:t>参加同一合同项下投标</w:t>
      </w:r>
      <w:r>
        <w:rPr>
          <w:rFonts w:hint="eastAsia" w:ascii="宋体" w:hAnsi="宋体" w:cs="宋体"/>
          <w:color w:val="auto"/>
          <w:sz w:val="21"/>
          <w:szCs w:val="21"/>
          <w:highlight w:val="none"/>
          <w:lang w:eastAsia="zh-CN"/>
        </w:rPr>
        <w:t>（</w:t>
      </w:r>
      <w:r>
        <w:rPr>
          <w:rFonts w:hint="eastAsia" w:ascii="宋体" w:hAnsi="宋体" w:cs="宋体"/>
          <w:color w:val="auto"/>
          <w:sz w:val="21"/>
          <w:szCs w:val="21"/>
          <w:highlight w:val="none"/>
          <w:lang w:val="en-US" w:eastAsia="zh-CN"/>
        </w:rPr>
        <w:t>磋商）</w:t>
      </w:r>
      <w:r>
        <w:rPr>
          <w:rFonts w:hint="eastAsia" w:ascii="宋体" w:hAnsi="宋体" w:cs="宋体"/>
          <w:color w:val="auto"/>
          <w:sz w:val="21"/>
          <w:szCs w:val="21"/>
          <w:highlight w:val="none"/>
        </w:rPr>
        <w:t>的，按一家</w:t>
      </w:r>
      <w:r>
        <w:rPr>
          <w:rFonts w:hint="eastAsia" w:ascii="宋体" w:hAnsi="宋体" w:cs="宋体"/>
          <w:color w:val="auto"/>
          <w:sz w:val="21"/>
          <w:szCs w:val="21"/>
          <w:highlight w:val="none"/>
          <w:lang w:val="en-US" w:eastAsia="zh-CN"/>
        </w:rPr>
        <w:t>供应商</w:t>
      </w:r>
      <w:r>
        <w:rPr>
          <w:rFonts w:hint="eastAsia" w:ascii="宋体" w:hAnsi="宋体" w:cs="宋体"/>
          <w:color w:val="auto"/>
          <w:sz w:val="21"/>
          <w:szCs w:val="21"/>
          <w:highlight w:val="none"/>
        </w:rPr>
        <w:t>计算，评审后得分最高的同品牌</w:t>
      </w:r>
      <w:r>
        <w:rPr>
          <w:rFonts w:hint="eastAsia" w:ascii="宋体" w:hAnsi="宋体" w:cs="宋体"/>
          <w:color w:val="auto"/>
          <w:sz w:val="21"/>
          <w:szCs w:val="21"/>
          <w:highlight w:val="none"/>
          <w:lang w:val="en-US" w:eastAsia="zh-CN"/>
        </w:rPr>
        <w:t>供应商</w:t>
      </w:r>
      <w:r>
        <w:rPr>
          <w:rFonts w:hint="eastAsia" w:ascii="宋体" w:hAnsi="宋体" w:cs="宋体"/>
          <w:color w:val="auto"/>
          <w:sz w:val="21"/>
          <w:szCs w:val="21"/>
          <w:highlight w:val="none"/>
        </w:rPr>
        <w:t>作为</w:t>
      </w:r>
      <w:r>
        <w:rPr>
          <w:rFonts w:hint="eastAsia" w:ascii="宋体" w:hAnsi="宋体" w:cs="宋体"/>
          <w:color w:val="auto"/>
          <w:sz w:val="21"/>
          <w:szCs w:val="21"/>
          <w:highlight w:val="none"/>
          <w:lang w:val="en-US" w:eastAsia="zh-CN"/>
        </w:rPr>
        <w:t>成交</w:t>
      </w:r>
      <w:r>
        <w:rPr>
          <w:rFonts w:hint="eastAsia" w:ascii="宋体" w:hAnsi="宋体" w:cs="宋体"/>
          <w:color w:val="auto"/>
          <w:sz w:val="21"/>
          <w:szCs w:val="21"/>
          <w:highlight w:val="none"/>
        </w:rPr>
        <w:t>候选人推荐；评审得分相同的，由</w:t>
      </w:r>
      <w:r>
        <w:rPr>
          <w:rFonts w:hint="eastAsia" w:ascii="宋体" w:hAnsi="宋体" w:cs="宋体"/>
          <w:color w:val="auto"/>
          <w:sz w:val="21"/>
          <w:szCs w:val="21"/>
          <w:highlight w:val="none"/>
          <w:lang w:val="en-US" w:eastAsia="zh-CN"/>
        </w:rPr>
        <w:t>磋商小组</w:t>
      </w:r>
      <w:r>
        <w:rPr>
          <w:rFonts w:hint="eastAsia" w:ascii="宋体" w:hAnsi="宋体" w:cs="宋体"/>
          <w:color w:val="auto"/>
          <w:sz w:val="21"/>
          <w:szCs w:val="21"/>
          <w:highlight w:val="none"/>
        </w:rPr>
        <w:t>按照下列方式确定一个</w:t>
      </w:r>
      <w:r>
        <w:rPr>
          <w:rFonts w:hint="eastAsia" w:ascii="宋体" w:hAnsi="宋体" w:cs="宋体"/>
          <w:color w:val="auto"/>
          <w:sz w:val="21"/>
          <w:szCs w:val="21"/>
          <w:highlight w:val="none"/>
          <w:lang w:val="en-US" w:eastAsia="zh-CN"/>
        </w:rPr>
        <w:t>供应商</w:t>
      </w:r>
      <w:r>
        <w:rPr>
          <w:rFonts w:hint="eastAsia" w:ascii="宋体" w:hAnsi="宋体" w:cs="宋体"/>
          <w:color w:val="auto"/>
          <w:sz w:val="21"/>
          <w:szCs w:val="21"/>
          <w:highlight w:val="none"/>
        </w:rPr>
        <w:t>作为</w:t>
      </w:r>
      <w:r>
        <w:rPr>
          <w:rFonts w:hint="eastAsia" w:ascii="宋体" w:hAnsi="宋体" w:cs="宋体"/>
          <w:color w:val="auto"/>
          <w:sz w:val="21"/>
          <w:szCs w:val="21"/>
          <w:highlight w:val="none"/>
          <w:lang w:val="en-US" w:eastAsia="zh-CN"/>
        </w:rPr>
        <w:t>成交</w:t>
      </w:r>
      <w:r>
        <w:rPr>
          <w:rFonts w:hint="eastAsia" w:ascii="宋体" w:hAnsi="宋体" w:cs="宋体"/>
          <w:color w:val="auto"/>
          <w:sz w:val="21"/>
          <w:szCs w:val="21"/>
          <w:highlight w:val="none"/>
        </w:rPr>
        <w:t>候选人推荐：</w:t>
      </w:r>
    </w:p>
    <w:p>
      <w:pPr>
        <w:pStyle w:val="12"/>
        <w:widowControl/>
        <w:spacing w:before="0" w:beforeAutospacing="0" w:after="0" w:afterAutospacing="0" w:line="405" w:lineRule="atLeast"/>
        <w:ind w:firstLine="465"/>
        <w:rPr>
          <w:rFonts w:hint="eastAsia" w:ascii="宋体" w:hAnsi="宋体" w:cs="宋体"/>
          <w:color w:val="auto"/>
          <w:sz w:val="21"/>
          <w:szCs w:val="21"/>
          <w:highlight w:val="none"/>
        </w:rPr>
      </w:pPr>
      <w:r>
        <w:rPr>
          <w:rFonts w:hint="eastAsia" w:ascii="宋体" w:hAnsi="宋体" w:cs="宋体"/>
          <w:color w:val="auto"/>
          <w:sz w:val="21"/>
          <w:szCs w:val="21"/>
          <w:highlight w:val="none"/>
        </w:rPr>
        <w:t>a.</w:t>
      </w:r>
      <w:r>
        <w:rPr>
          <w:rFonts w:hint="eastAsia" w:ascii="宋体" w:hAnsi="宋体" w:cs="宋体"/>
          <w:color w:val="auto"/>
          <w:sz w:val="21"/>
          <w:szCs w:val="21"/>
          <w:highlight w:val="none"/>
          <w:lang w:val="en-US" w:eastAsia="zh-CN"/>
        </w:rPr>
        <w:t>磋商文件</w:t>
      </w:r>
      <w:r>
        <w:rPr>
          <w:rFonts w:hint="eastAsia" w:ascii="宋体" w:hAnsi="宋体" w:cs="宋体"/>
          <w:color w:val="auto"/>
          <w:sz w:val="21"/>
          <w:szCs w:val="21"/>
          <w:highlight w:val="none"/>
        </w:rPr>
        <w:t>规定的方式：综合评审总得分（FA）相同的，按照经评审最后磋商报价（即经采购优惠政策进行价格扣除后的最后报价）由低到高顺序推荐。综合评审总得分（FA）且经评审最后磋商报价（即经采购优惠政策进行价格扣除后的最后报价）仍然相同的，则按“技术部分”的得分从高到低排序推荐成交候选人。经前述顺序处理仍然并列相同的，或技术指标优劣无法判断的，则评磋商小组在有关监督人员的监督下通过随机抽签的形式，确定他们之间的排名顺序。</w:t>
      </w:r>
    </w:p>
    <w:p>
      <w:pPr>
        <w:pStyle w:val="12"/>
        <w:widowControl/>
        <w:spacing w:before="75" w:beforeAutospacing="0" w:after="75" w:afterAutospacing="0"/>
        <w:ind w:firstLine="480"/>
        <w:rPr>
          <w:rFonts w:hint="eastAsia" w:ascii="宋体" w:hAnsi="宋体" w:cs="宋体"/>
          <w:color w:val="auto"/>
          <w:sz w:val="21"/>
          <w:szCs w:val="21"/>
          <w:highlight w:val="none"/>
        </w:rPr>
      </w:pPr>
      <w:r>
        <w:rPr>
          <w:rFonts w:hint="eastAsia" w:ascii="宋体" w:hAnsi="宋体" w:cs="宋体"/>
          <w:color w:val="auto"/>
          <w:sz w:val="21"/>
          <w:szCs w:val="21"/>
          <w:highlight w:val="none"/>
        </w:rPr>
        <w:t>b.</w:t>
      </w:r>
      <w:r>
        <w:rPr>
          <w:rFonts w:hint="eastAsia" w:ascii="宋体" w:hAnsi="宋体" w:cs="宋体"/>
          <w:color w:val="auto"/>
          <w:sz w:val="21"/>
          <w:szCs w:val="21"/>
          <w:highlight w:val="none"/>
          <w:lang w:val="en-US" w:eastAsia="zh-CN"/>
        </w:rPr>
        <w:t>磋商</w:t>
      </w:r>
      <w:r>
        <w:rPr>
          <w:rFonts w:hint="eastAsia" w:ascii="宋体" w:hAnsi="宋体" w:cs="宋体"/>
          <w:color w:val="auto"/>
          <w:sz w:val="21"/>
          <w:szCs w:val="21"/>
          <w:highlight w:val="none"/>
        </w:rPr>
        <w:t>文件未规定的，采取随机抽取方式确定，其他同品牌</w:t>
      </w:r>
      <w:r>
        <w:rPr>
          <w:rFonts w:hint="eastAsia" w:ascii="宋体" w:hAnsi="宋体" w:cs="宋体"/>
          <w:color w:val="auto"/>
          <w:sz w:val="21"/>
          <w:szCs w:val="21"/>
          <w:highlight w:val="none"/>
          <w:lang w:val="en-US" w:eastAsia="zh-CN"/>
        </w:rPr>
        <w:t>供应商</w:t>
      </w:r>
      <w:r>
        <w:rPr>
          <w:rFonts w:hint="eastAsia" w:ascii="宋体" w:hAnsi="宋体" w:cs="宋体"/>
          <w:color w:val="auto"/>
          <w:sz w:val="21"/>
          <w:szCs w:val="21"/>
          <w:highlight w:val="none"/>
        </w:rPr>
        <w:t>不作为</w:t>
      </w:r>
      <w:r>
        <w:rPr>
          <w:rFonts w:hint="eastAsia" w:ascii="宋体" w:hAnsi="宋体" w:cs="宋体"/>
          <w:color w:val="auto"/>
          <w:sz w:val="21"/>
          <w:szCs w:val="21"/>
          <w:highlight w:val="none"/>
          <w:lang w:val="en-US" w:eastAsia="zh-CN"/>
        </w:rPr>
        <w:t>成交</w:t>
      </w:r>
      <w:r>
        <w:rPr>
          <w:rFonts w:hint="eastAsia" w:ascii="宋体" w:hAnsi="宋体" w:cs="宋体"/>
          <w:color w:val="auto"/>
          <w:sz w:val="21"/>
          <w:szCs w:val="21"/>
          <w:highlight w:val="none"/>
        </w:rPr>
        <w:t>候选人。</w:t>
      </w:r>
    </w:p>
    <w:p>
      <w:pPr>
        <w:pStyle w:val="12"/>
        <w:widowControl/>
        <w:spacing w:before="75" w:beforeAutospacing="0" w:after="75" w:afterAutospacing="0"/>
        <w:ind w:firstLine="480"/>
        <w:rPr>
          <w:rFonts w:hint="default"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C.</w:t>
      </w:r>
      <w:r>
        <w:rPr>
          <w:rFonts w:hint="eastAsia" w:ascii="宋体" w:hAnsi="宋体" w:eastAsia="宋体" w:cs="宋体"/>
          <w:color w:val="auto"/>
          <w:kern w:val="0"/>
          <w:sz w:val="21"/>
          <w:szCs w:val="21"/>
          <w:highlight w:val="none"/>
        </w:rPr>
        <w:t>非单一产品采购项目，采购人根据采购项目技术构成、产品价格比重等合理确定核心产品，并在</w:t>
      </w:r>
      <w:r>
        <w:rPr>
          <w:rFonts w:hint="eastAsia" w:ascii="宋体" w:hAnsi="宋体" w:eastAsia="宋体" w:cs="宋体"/>
          <w:color w:val="auto"/>
          <w:kern w:val="0"/>
          <w:sz w:val="21"/>
          <w:szCs w:val="21"/>
          <w:highlight w:val="none"/>
          <w:lang w:eastAsia="zh-CN"/>
        </w:rPr>
        <w:t>《采购内容及要求》</w:t>
      </w:r>
      <w:r>
        <w:rPr>
          <w:rFonts w:hint="eastAsia" w:ascii="宋体" w:hAnsi="宋体" w:eastAsia="宋体" w:cs="宋体"/>
          <w:color w:val="auto"/>
          <w:kern w:val="0"/>
          <w:sz w:val="21"/>
          <w:szCs w:val="21"/>
          <w:highlight w:val="none"/>
        </w:rPr>
        <w:t>中载明。多家</w:t>
      </w:r>
      <w:r>
        <w:rPr>
          <w:rFonts w:hint="eastAsia" w:ascii="宋体" w:hAnsi="宋体" w:eastAsia="宋体" w:cs="宋体"/>
          <w:color w:val="auto"/>
          <w:kern w:val="0"/>
          <w:sz w:val="21"/>
          <w:szCs w:val="21"/>
          <w:highlight w:val="none"/>
          <w:lang w:val="en-US" w:eastAsia="zh-CN"/>
        </w:rPr>
        <w:t>供应商</w:t>
      </w:r>
      <w:r>
        <w:rPr>
          <w:rFonts w:hint="eastAsia" w:ascii="宋体" w:hAnsi="宋体" w:eastAsia="宋体" w:cs="宋体"/>
          <w:color w:val="auto"/>
          <w:kern w:val="0"/>
          <w:sz w:val="21"/>
          <w:szCs w:val="21"/>
          <w:highlight w:val="none"/>
        </w:rPr>
        <w:t>提供的核心产品品牌相同的，按前款规定处理。</w:t>
      </w:r>
    </w:p>
    <w:p>
      <w:pPr>
        <w:pStyle w:val="12"/>
        <w:keepNext w:val="0"/>
        <w:keepLines w:val="0"/>
        <w:pageBreakBefore w:val="0"/>
        <w:widowControl/>
        <w:kinsoku/>
        <w:wordWrap/>
        <w:overflowPunct/>
        <w:topLinePunct w:val="0"/>
        <w:bidi w:val="0"/>
        <w:snapToGrid/>
        <w:spacing w:before="75" w:beforeAutospacing="0" w:after="75" w:afterAutospacing="0" w:line="435" w:lineRule="atLeast"/>
        <w:ind w:firstLine="210" w:firstLineChars="100"/>
        <w:outlineLvl w:val="9"/>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25.2</w:t>
      </w:r>
      <w:r>
        <w:rPr>
          <w:rFonts w:hint="eastAsia" w:ascii="宋体" w:hAnsi="宋体" w:eastAsia="宋体" w:cs="宋体"/>
          <w:color w:val="auto"/>
          <w:sz w:val="21"/>
          <w:szCs w:val="21"/>
          <w:highlight w:val="none"/>
        </w:rPr>
        <w:t>根据采购项目特点或政策需要补充的其他新增内容详见竞争性磋商须知前附表。</w:t>
      </w:r>
    </w:p>
    <w:p>
      <w:pPr>
        <w:pStyle w:val="12"/>
        <w:widowControl/>
        <w:spacing w:before="75" w:beforeAutospacing="0" w:after="75" w:afterAutospacing="0" w:line="435" w:lineRule="atLeast"/>
        <w:rPr>
          <w:rFonts w:ascii="宋体" w:hAnsi="宋体" w:cs="宋体"/>
          <w:b/>
          <w:bCs/>
          <w:color w:val="auto"/>
          <w:sz w:val="21"/>
          <w:szCs w:val="21"/>
          <w:highlight w:val="none"/>
        </w:rPr>
      </w:pPr>
      <w:r>
        <w:rPr>
          <w:rFonts w:hint="eastAsia" w:ascii="宋体" w:hAnsi="宋体" w:cs="宋体"/>
          <w:b/>
          <w:bCs/>
          <w:color w:val="auto"/>
          <w:sz w:val="21"/>
          <w:szCs w:val="21"/>
          <w:highlight w:val="none"/>
        </w:rPr>
        <w:t>26.其他事项：</w:t>
      </w:r>
    </w:p>
    <w:p>
      <w:pPr>
        <w:pStyle w:val="12"/>
        <w:widowControl/>
        <w:spacing w:before="75" w:beforeAutospacing="0" w:after="75" w:afterAutospacing="0" w:line="435" w:lineRule="atLeast"/>
        <w:ind w:firstLine="840"/>
        <w:rPr>
          <w:rFonts w:ascii="宋体" w:hAnsi="宋体" w:cs="宋体"/>
          <w:color w:val="auto"/>
          <w:sz w:val="21"/>
          <w:szCs w:val="21"/>
          <w:highlight w:val="none"/>
        </w:rPr>
      </w:pPr>
      <w:r>
        <w:rPr>
          <w:rFonts w:hint="eastAsia" w:ascii="宋体" w:hAnsi="宋体" w:cs="宋体"/>
          <w:color w:val="auto"/>
          <w:sz w:val="21"/>
          <w:szCs w:val="21"/>
          <w:highlight w:val="none"/>
        </w:rPr>
        <w:t>本项目中如涉及商品包装和快递包装的，其包装需求标准应不低于《关于印发〈商品包装政府采购需求标准(试行)〉、〈快递包装政府采购需求标准(试行)〉的通知》（财办库〔2020〕 123号）规定的包装要求，其他包装需求详见磋商文件具体规定。采购人、成交人双方签订合同及验收环节，应包含上述包装要求的条款。</w:t>
      </w:r>
    </w:p>
    <w:p>
      <w:pPr>
        <w:pStyle w:val="12"/>
        <w:widowControl/>
        <w:spacing w:before="75" w:beforeAutospacing="0" w:after="75" w:afterAutospacing="0"/>
        <w:jc w:val="center"/>
        <w:outlineLvl w:val="0"/>
        <w:rPr>
          <w:rFonts w:ascii="宋体" w:hAnsi="宋体" w:cs="宋体"/>
          <w:color w:val="auto"/>
          <w:highlight w:val="none"/>
        </w:rPr>
      </w:pPr>
      <w:r>
        <w:rPr>
          <w:rStyle w:val="18"/>
          <w:rFonts w:hint="eastAsia" w:ascii="宋体" w:hAnsi="宋体" w:cs="宋体"/>
          <w:color w:val="auto"/>
          <w:sz w:val="36"/>
          <w:szCs w:val="36"/>
          <w:highlight w:val="none"/>
        </w:rPr>
        <w:br w:type="page"/>
      </w:r>
      <w:bookmarkStart w:id="4" w:name="_Toc23040"/>
      <w:r>
        <w:rPr>
          <w:rStyle w:val="18"/>
          <w:rFonts w:hint="eastAsia" w:ascii="宋体" w:hAnsi="宋体" w:cs="宋体"/>
          <w:color w:val="auto"/>
          <w:sz w:val="36"/>
          <w:szCs w:val="36"/>
          <w:highlight w:val="none"/>
        </w:rPr>
        <w:t>第三章  采购内容及要求</w:t>
      </w:r>
      <w:bookmarkEnd w:id="4"/>
    </w:p>
    <w:p>
      <w:pPr>
        <w:rPr>
          <w:rFonts w:ascii="宋体" w:hAnsi="宋体" w:cs="宋体"/>
          <w:color w:val="auto"/>
          <w:highlight w:val="none"/>
        </w:rPr>
      </w:pPr>
      <w:r>
        <w:rPr>
          <w:rFonts w:hint="eastAsia" w:ascii="宋体" w:hAnsi="宋体" w:cs="宋体"/>
          <w:color w:val="auto"/>
          <w:sz w:val="24"/>
          <w:highlight w:val="none"/>
        </w:rPr>
        <w:t> </w:t>
      </w:r>
    </w:p>
    <w:p>
      <w:pPr>
        <w:widowControl/>
        <w:spacing w:before="180" w:line="345" w:lineRule="atLeast"/>
        <w:ind w:firstLine="482"/>
        <w:jc w:val="left"/>
        <w:rPr>
          <w:rFonts w:ascii="宋体" w:hAnsi="宋体" w:cs="宋体"/>
          <w:b/>
          <w:color w:val="auto"/>
          <w:kern w:val="0"/>
          <w:szCs w:val="21"/>
          <w:highlight w:val="none"/>
        </w:rPr>
      </w:pPr>
      <w:bookmarkStart w:id="5" w:name="_Toc482373833"/>
      <w:r>
        <w:rPr>
          <w:rFonts w:hint="eastAsia" w:ascii="宋体" w:hAnsi="宋体" w:cs="宋体"/>
          <w:b/>
          <w:color w:val="auto"/>
          <w:kern w:val="0"/>
          <w:szCs w:val="21"/>
          <w:highlight w:val="none"/>
        </w:rPr>
        <w:t>一、项目概况（采购标的）</w:t>
      </w:r>
    </w:p>
    <w:p>
      <w:pPr>
        <w:spacing w:line="500" w:lineRule="exact"/>
        <w:ind w:firstLine="420" w:firstLineChars="200"/>
        <w:rPr>
          <w:rFonts w:ascii="宋体" w:hAnsi="宋体"/>
          <w:color w:val="auto"/>
          <w:highlight w:val="none"/>
        </w:rPr>
      </w:pPr>
      <w:r>
        <w:rPr>
          <w:rFonts w:hint="eastAsia" w:ascii="宋体" w:hAnsi="宋体"/>
          <w:color w:val="auto"/>
          <w:highlight w:val="none"/>
        </w:rPr>
        <w:t>1、本次采购的货物为生产要素平台展示设备</w:t>
      </w:r>
      <w:r>
        <w:rPr>
          <w:rFonts w:hint="eastAsia"/>
          <w:color w:val="auto"/>
          <w:highlight w:val="none"/>
        </w:rPr>
        <w:t>，属制造业</w:t>
      </w:r>
      <w:r>
        <w:rPr>
          <w:rFonts w:hint="eastAsia" w:ascii="宋体" w:hAnsi="宋体"/>
          <w:color w:val="auto"/>
          <w:highlight w:val="none"/>
        </w:rPr>
        <w:t>。供应商应根据竞争性磋商文件的要求，开展项目尽职调查工作，充分理解本项目的需求，充分了解项目的客观情况，提供符合采购人需求的</w:t>
      </w:r>
      <w:r>
        <w:rPr>
          <w:rFonts w:hint="eastAsia" w:ascii="宋体" w:hAnsi="宋体"/>
          <w:color w:val="auto"/>
          <w:highlight w:val="none"/>
          <w:lang w:val="en-US" w:eastAsia="zh-CN"/>
        </w:rPr>
        <w:t>货物及</w:t>
      </w:r>
      <w:r>
        <w:rPr>
          <w:rFonts w:hint="eastAsia" w:ascii="宋体" w:hAnsi="宋体"/>
          <w:color w:val="auto"/>
          <w:highlight w:val="none"/>
        </w:rPr>
        <w:t>服务。</w:t>
      </w:r>
    </w:p>
    <w:p>
      <w:pPr>
        <w:spacing w:line="500" w:lineRule="exact"/>
        <w:ind w:firstLine="420" w:firstLineChars="200"/>
        <w:rPr>
          <w:rFonts w:ascii="宋体" w:hAnsi="宋体"/>
          <w:color w:val="auto"/>
          <w:highlight w:val="none"/>
        </w:rPr>
      </w:pPr>
      <w:r>
        <w:rPr>
          <w:rFonts w:hint="eastAsia" w:ascii="宋体" w:hAnsi="宋体"/>
          <w:color w:val="auto"/>
          <w:highlight w:val="none"/>
        </w:rPr>
        <w:t>2、供应商必须保证提供的所有货物、服务必须符合国家相关标准、规范要求。如因供应商缘故违反国家相关规定而产生的纠纷和责任，均由供应商负全责。若因此给采购人造成损失的，供应商还要负赔偿责任。</w:t>
      </w:r>
    </w:p>
    <w:p>
      <w:pPr>
        <w:spacing w:line="500" w:lineRule="exact"/>
        <w:ind w:firstLine="420" w:firstLineChars="200"/>
        <w:rPr>
          <w:rFonts w:ascii="宋体" w:hAnsi="宋体"/>
          <w:color w:val="auto"/>
          <w:highlight w:val="none"/>
        </w:rPr>
      </w:pPr>
      <w:r>
        <w:rPr>
          <w:rFonts w:hint="eastAsia" w:ascii="宋体" w:hAnsi="宋体"/>
          <w:color w:val="auto"/>
          <w:highlight w:val="none"/>
        </w:rPr>
        <w:t>3、供应商务必仔细阅读竞争性磋商文件中所规定的，其中包括技术指标要求、商务条件部分在内的所有细则。</w:t>
      </w:r>
    </w:p>
    <w:p>
      <w:pPr>
        <w:widowControl/>
        <w:spacing w:before="180" w:line="345" w:lineRule="atLeast"/>
        <w:jc w:val="left"/>
        <w:rPr>
          <w:rFonts w:ascii="宋体" w:hAnsi="宋体" w:cs="宋体"/>
          <w:b/>
          <w:color w:val="auto"/>
          <w:kern w:val="0"/>
          <w:szCs w:val="21"/>
          <w:highlight w:val="none"/>
        </w:rPr>
      </w:pPr>
    </w:p>
    <w:p>
      <w:pPr>
        <w:widowControl/>
        <w:numPr>
          <w:ilvl w:val="0"/>
          <w:numId w:val="7"/>
        </w:numPr>
        <w:spacing w:before="180" w:line="345" w:lineRule="atLeast"/>
        <w:ind w:firstLine="482"/>
        <w:jc w:val="left"/>
        <w:rPr>
          <w:color w:val="auto"/>
          <w:highlight w:val="none"/>
        </w:rPr>
      </w:pPr>
      <w:bookmarkStart w:id="6" w:name="_Toc483211388"/>
      <w:bookmarkStart w:id="7" w:name="_Toc496882957"/>
      <w:r>
        <w:rPr>
          <w:rFonts w:hint="eastAsia" w:ascii="宋体" w:hAnsi="宋体" w:cs="宋体"/>
          <w:b/>
          <w:bCs/>
          <w:color w:val="auto"/>
          <w:kern w:val="0"/>
          <w:szCs w:val="21"/>
          <w:highlight w:val="none"/>
          <w:lang w:bidi="ar"/>
        </w:rPr>
        <w:t>技术和服务要求</w:t>
      </w:r>
      <w:bookmarkEnd w:id="5"/>
      <w:bookmarkEnd w:id="6"/>
      <w:bookmarkEnd w:id="7"/>
      <w:r>
        <w:rPr>
          <w:rFonts w:hint="eastAsia" w:ascii="宋体" w:hAnsi="宋体" w:cs="宋体"/>
          <w:b/>
          <w:color w:val="auto"/>
          <w:kern w:val="0"/>
          <w:szCs w:val="21"/>
          <w:highlight w:val="none"/>
        </w:rPr>
        <w:t>（以“★”标示的内容为不允许负偏离的实质性要求）</w:t>
      </w:r>
    </w:p>
    <w:tbl>
      <w:tblPr>
        <w:tblStyle w:val="15"/>
        <w:tblW w:w="8980" w:type="dxa"/>
        <w:tblInd w:w="100" w:type="dxa"/>
        <w:tblLayout w:type="autofit"/>
        <w:tblCellMar>
          <w:top w:w="0" w:type="dxa"/>
          <w:left w:w="108" w:type="dxa"/>
          <w:bottom w:w="0" w:type="dxa"/>
          <w:right w:w="108" w:type="dxa"/>
        </w:tblCellMar>
      </w:tblPr>
      <w:tblGrid>
        <w:gridCol w:w="531"/>
        <w:gridCol w:w="1585"/>
        <w:gridCol w:w="4879"/>
        <w:gridCol w:w="990"/>
        <w:gridCol w:w="995"/>
      </w:tblGrid>
      <w:tr>
        <w:tblPrEx>
          <w:tblCellMar>
            <w:top w:w="0" w:type="dxa"/>
            <w:left w:w="108" w:type="dxa"/>
            <w:bottom w:w="0" w:type="dxa"/>
            <w:right w:w="108" w:type="dxa"/>
          </w:tblCellMar>
        </w:tblPrEx>
        <w:trPr>
          <w:trHeight w:val="90" w:hRule="atLeast"/>
        </w:trPr>
        <w:tc>
          <w:tcPr>
            <w:tcW w:w="531"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left"/>
              <w:rPr>
                <w:rFonts w:hint="default" w:ascii="宋体" w:hAnsi="宋体" w:cs="宋体"/>
                <w:b/>
                <w:bCs/>
                <w:color w:val="auto"/>
                <w:szCs w:val="21"/>
                <w:highlight w:val="none"/>
              </w:rPr>
            </w:pPr>
            <w:r>
              <w:rPr>
                <w:rFonts w:hint="eastAsia" w:ascii="宋体" w:hAnsi="宋体" w:cs="宋体"/>
                <w:b/>
                <w:bCs/>
                <w:color w:val="auto"/>
                <w:kern w:val="0"/>
                <w:szCs w:val="21"/>
                <w:highlight w:val="none"/>
                <w:lang w:bidi="ar"/>
              </w:rPr>
              <w:t>序号</w:t>
            </w:r>
          </w:p>
        </w:tc>
        <w:tc>
          <w:tcPr>
            <w:tcW w:w="1585"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center"/>
              <w:rPr>
                <w:rFonts w:hint="default" w:ascii="宋体" w:hAnsi="宋体" w:cs="宋体"/>
                <w:b/>
                <w:bCs/>
                <w:color w:val="auto"/>
                <w:szCs w:val="21"/>
                <w:highlight w:val="none"/>
              </w:rPr>
            </w:pPr>
            <w:r>
              <w:rPr>
                <w:rFonts w:hint="eastAsia" w:ascii="宋体" w:hAnsi="宋体" w:cs="宋体"/>
                <w:bCs/>
                <w:color w:val="auto"/>
                <w:kern w:val="0"/>
                <w:szCs w:val="21"/>
                <w:highlight w:val="none"/>
                <w:lang w:bidi="ar"/>
              </w:rPr>
              <w:t>★</w:t>
            </w:r>
            <w:r>
              <w:rPr>
                <w:rFonts w:hint="eastAsia" w:ascii="宋体" w:hAnsi="宋体" w:cs="宋体"/>
                <w:b/>
                <w:bCs/>
                <w:color w:val="auto"/>
                <w:kern w:val="0"/>
                <w:szCs w:val="21"/>
                <w:highlight w:val="none"/>
                <w:lang w:bidi="ar"/>
              </w:rPr>
              <w:t>标的</w:t>
            </w:r>
          </w:p>
        </w:tc>
        <w:tc>
          <w:tcPr>
            <w:tcW w:w="4879"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center"/>
              <w:rPr>
                <w:rFonts w:hint="default" w:ascii="宋体" w:hAnsi="宋体" w:cs="宋体"/>
                <w:b/>
                <w:bCs/>
                <w:color w:val="auto"/>
                <w:szCs w:val="21"/>
                <w:highlight w:val="none"/>
              </w:rPr>
            </w:pPr>
            <w:r>
              <w:rPr>
                <w:rFonts w:hint="eastAsia" w:ascii="宋体" w:hAnsi="宋体" w:cs="宋体"/>
                <w:b/>
                <w:bCs/>
                <w:color w:val="auto"/>
                <w:kern w:val="0"/>
                <w:szCs w:val="21"/>
                <w:highlight w:val="none"/>
                <w:lang w:bidi="ar"/>
              </w:rPr>
              <w:t>设备参数</w:t>
            </w:r>
          </w:p>
        </w:tc>
        <w:tc>
          <w:tcPr>
            <w:tcW w:w="99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left"/>
              <w:rPr>
                <w:rFonts w:hint="default" w:ascii="宋体" w:hAnsi="宋体" w:cs="宋体"/>
                <w:b/>
                <w:bCs/>
                <w:color w:val="auto"/>
                <w:szCs w:val="21"/>
                <w:highlight w:val="none"/>
              </w:rPr>
            </w:pPr>
            <w:r>
              <w:rPr>
                <w:rFonts w:hint="eastAsia" w:ascii="宋体" w:hAnsi="宋体" w:cs="宋体"/>
                <w:bCs/>
                <w:color w:val="auto"/>
                <w:kern w:val="0"/>
                <w:szCs w:val="21"/>
                <w:highlight w:val="none"/>
                <w:lang w:bidi="ar"/>
              </w:rPr>
              <w:t>★</w:t>
            </w:r>
            <w:r>
              <w:rPr>
                <w:rFonts w:hint="eastAsia" w:ascii="宋体" w:hAnsi="宋体" w:cs="宋体"/>
                <w:b/>
                <w:bCs/>
                <w:color w:val="auto"/>
                <w:kern w:val="0"/>
                <w:szCs w:val="21"/>
                <w:highlight w:val="none"/>
                <w:lang w:bidi="ar"/>
              </w:rPr>
              <w:t>数量</w:t>
            </w:r>
          </w:p>
        </w:tc>
        <w:tc>
          <w:tcPr>
            <w:tcW w:w="995"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left"/>
              <w:rPr>
                <w:rFonts w:hint="default" w:ascii="宋体" w:hAnsi="宋体" w:cs="宋体"/>
                <w:b/>
                <w:bCs/>
                <w:color w:val="auto"/>
                <w:szCs w:val="21"/>
                <w:highlight w:val="none"/>
              </w:rPr>
            </w:pPr>
            <w:r>
              <w:rPr>
                <w:rFonts w:hint="eastAsia" w:ascii="宋体" w:hAnsi="宋体" w:cs="宋体"/>
                <w:bCs/>
                <w:color w:val="auto"/>
                <w:kern w:val="0"/>
                <w:szCs w:val="21"/>
                <w:highlight w:val="none"/>
                <w:lang w:bidi="ar"/>
              </w:rPr>
              <w:t>★</w:t>
            </w:r>
            <w:r>
              <w:rPr>
                <w:rFonts w:hint="eastAsia" w:ascii="宋体" w:hAnsi="宋体" w:cs="宋体"/>
                <w:b/>
                <w:bCs/>
                <w:color w:val="auto"/>
                <w:kern w:val="0"/>
                <w:szCs w:val="21"/>
                <w:highlight w:val="none"/>
                <w:lang w:bidi="ar"/>
              </w:rPr>
              <w:t>单位</w:t>
            </w:r>
          </w:p>
        </w:tc>
      </w:tr>
      <w:tr>
        <w:tblPrEx>
          <w:tblCellMar>
            <w:top w:w="0" w:type="dxa"/>
            <w:left w:w="108" w:type="dxa"/>
            <w:bottom w:w="0" w:type="dxa"/>
            <w:right w:w="108" w:type="dxa"/>
          </w:tblCellMar>
        </w:tblPrEx>
        <w:trPr>
          <w:trHeight w:val="90" w:hRule="atLeast"/>
        </w:trPr>
        <w:tc>
          <w:tcPr>
            <w:tcW w:w="8980" w:type="dxa"/>
            <w:gridSpan w:val="5"/>
            <w:tcBorders>
              <w:top w:val="single" w:color="auto"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default" w:ascii="宋体" w:hAnsi="宋体" w:cs="宋体"/>
                <w:b/>
                <w:bCs/>
                <w:color w:val="auto"/>
                <w:kern w:val="0"/>
                <w:szCs w:val="21"/>
                <w:highlight w:val="none"/>
                <w:lang w:bidi="ar"/>
              </w:rPr>
            </w:pPr>
            <w:r>
              <w:rPr>
                <w:rFonts w:hint="eastAsia" w:ascii="宋体" w:hAnsi="宋体" w:cs="宋体"/>
                <w:color w:val="auto"/>
                <w:kern w:val="0"/>
                <w:szCs w:val="21"/>
                <w:highlight w:val="none"/>
                <w:lang w:bidi="ar"/>
              </w:rPr>
              <w:t>一、屏幕1</w:t>
            </w:r>
          </w:p>
        </w:tc>
      </w:tr>
      <w:tr>
        <w:tblPrEx>
          <w:tblCellMar>
            <w:top w:w="0" w:type="dxa"/>
            <w:left w:w="108" w:type="dxa"/>
            <w:bottom w:w="0" w:type="dxa"/>
            <w:right w:w="108" w:type="dxa"/>
          </w:tblCellMar>
        </w:tblPrEx>
        <w:trPr>
          <w:trHeight w:val="4388" w:hRule="atLeast"/>
        </w:trPr>
        <w:tc>
          <w:tcPr>
            <w:tcW w:w="53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default" w:ascii="宋体" w:hAnsi="宋体" w:cs="宋体"/>
                <w:color w:val="auto"/>
                <w:szCs w:val="21"/>
                <w:highlight w:val="none"/>
              </w:rPr>
            </w:pPr>
            <w:r>
              <w:rPr>
                <w:rFonts w:hint="eastAsia" w:ascii="宋体" w:hAnsi="宋体" w:cs="宋体"/>
                <w:color w:val="auto"/>
                <w:kern w:val="0"/>
                <w:szCs w:val="21"/>
                <w:highlight w:val="none"/>
                <w:lang w:bidi="ar"/>
              </w:rPr>
              <w:t>1</w:t>
            </w:r>
          </w:p>
        </w:tc>
        <w:tc>
          <w:tcPr>
            <w:tcW w:w="158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default" w:ascii="宋体" w:hAnsi="宋体" w:cs="宋体"/>
                <w:color w:val="auto"/>
                <w:szCs w:val="21"/>
                <w:highlight w:val="none"/>
              </w:rPr>
            </w:pPr>
            <w:r>
              <w:rPr>
                <w:rFonts w:hint="eastAsia" w:ascii="宋体" w:hAnsi="宋体" w:cs="宋体"/>
                <w:color w:val="auto"/>
                <w:szCs w:val="21"/>
                <w:highlight w:val="none"/>
              </w:rPr>
              <w:t>◆</w:t>
            </w:r>
            <w:r>
              <w:rPr>
                <w:rFonts w:hint="eastAsia" w:ascii="宋体" w:hAnsi="宋体" w:cs="宋体"/>
                <w:color w:val="auto"/>
                <w:kern w:val="0"/>
                <w:szCs w:val="21"/>
                <w:highlight w:val="none"/>
                <w:lang w:bidi="ar"/>
              </w:rPr>
              <w:t>小间距LED显示屏</w:t>
            </w:r>
            <w:r>
              <w:rPr>
                <w:rFonts w:hint="eastAsia" w:ascii="宋体" w:hAnsi="宋体" w:cs="宋体"/>
                <w:b/>
                <w:bCs/>
                <w:color w:val="auto"/>
                <w:szCs w:val="21"/>
                <w:highlight w:val="none"/>
              </w:rPr>
              <w:t>（核心产品）</w:t>
            </w:r>
          </w:p>
        </w:tc>
        <w:tc>
          <w:tcPr>
            <w:tcW w:w="4879" w:type="dxa"/>
            <w:tcBorders>
              <w:top w:val="single" w:color="000000" w:sz="4" w:space="0"/>
              <w:left w:val="single" w:color="000000" w:sz="4" w:space="0"/>
              <w:bottom w:val="single" w:color="000000" w:sz="4" w:space="0"/>
              <w:right w:val="single" w:color="000000" w:sz="4" w:space="0"/>
            </w:tcBorders>
          </w:tcPr>
          <w:p>
            <w:pPr>
              <w:keepNext w:val="0"/>
              <w:keepLines w:val="0"/>
              <w:widowControl/>
              <w:suppressLineNumbers w:val="0"/>
              <w:tabs>
                <w:tab w:val="left" w:pos="312"/>
              </w:tabs>
              <w:spacing w:before="0" w:beforeAutospacing="0" w:after="0" w:afterAutospacing="0"/>
              <w:ind w:left="0" w:right="0"/>
              <w:jc w:val="left"/>
              <w:textAlignment w:val="top"/>
              <w:rPr>
                <w:rFonts w:hint="default" w:ascii="宋体" w:hAnsi="宋体" w:cs="宋体"/>
                <w:color w:val="auto"/>
                <w:kern w:val="0"/>
                <w:szCs w:val="21"/>
                <w:highlight w:val="none"/>
                <w:lang w:bidi="ar"/>
              </w:rPr>
            </w:pPr>
            <w:r>
              <w:rPr>
                <w:rFonts w:hint="eastAsia" w:ascii="宋体" w:hAnsi="宋体" w:cs="宋体"/>
                <w:color w:val="auto"/>
                <w:kern w:val="0"/>
                <w:szCs w:val="21"/>
                <w:highlight w:val="none"/>
                <w:lang w:bidi="ar"/>
              </w:rPr>
              <w:t>1.屏幕显示面积:宽2.88m*高1.6m=4.6㎡,整屏显示分辨率：≥宽2304点*高1280点</w:t>
            </w:r>
          </w:p>
          <w:p>
            <w:pPr>
              <w:keepNext w:val="0"/>
              <w:keepLines w:val="0"/>
              <w:widowControl/>
              <w:suppressLineNumbers w:val="0"/>
              <w:tabs>
                <w:tab w:val="left" w:pos="312"/>
              </w:tabs>
              <w:spacing w:before="0" w:beforeAutospacing="0" w:after="0" w:afterAutospacing="0"/>
              <w:ind w:left="0" w:right="0"/>
              <w:jc w:val="left"/>
              <w:textAlignment w:val="top"/>
              <w:rPr>
                <w:rFonts w:hint="default" w:ascii="宋体" w:hAnsi="宋体" w:cs="宋体"/>
                <w:color w:val="auto"/>
                <w:kern w:val="0"/>
                <w:szCs w:val="21"/>
                <w:highlight w:val="none"/>
                <w:lang w:bidi="ar"/>
              </w:rPr>
            </w:pPr>
            <w:r>
              <w:rPr>
                <w:rFonts w:hint="eastAsia" w:ascii="宋体" w:hAnsi="宋体" w:cs="宋体"/>
                <w:color w:val="auto"/>
                <w:kern w:val="0"/>
                <w:szCs w:val="21"/>
                <w:highlight w:val="none"/>
                <w:lang w:bidi="ar"/>
              </w:rPr>
              <w:t>2.像素间距≤1.25mm</w:t>
            </w:r>
          </w:p>
          <w:p>
            <w:pPr>
              <w:keepNext w:val="0"/>
              <w:keepLines w:val="0"/>
              <w:widowControl/>
              <w:suppressLineNumbers w:val="0"/>
              <w:tabs>
                <w:tab w:val="left" w:pos="312"/>
              </w:tabs>
              <w:spacing w:before="0" w:beforeAutospacing="0" w:after="0" w:afterAutospacing="0"/>
              <w:ind w:left="0" w:right="0"/>
              <w:jc w:val="left"/>
              <w:textAlignment w:val="top"/>
              <w:rPr>
                <w:rFonts w:hint="default" w:ascii="宋体" w:hAnsi="宋体" w:cs="宋体"/>
                <w:color w:val="auto"/>
                <w:kern w:val="0"/>
                <w:szCs w:val="21"/>
                <w:highlight w:val="none"/>
                <w:lang w:bidi="ar"/>
              </w:rPr>
            </w:pPr>
            <w:r>
              <w:rPr>
                <w:rFonts w:hint="eastAsia" w:ascii="宋体" w:hAnsi="宋体" w:cs="宋体"/>
                <w:color w:val="auto"/>
                <w:kern w:val="0"/>
                <w:szCs w:val="21"/>
                <w:highlight w:val="none"/>
                <w:lang w:bidi="ar"/>
              </w:rPr>
              <w:t>3.铝底壳工艺，模组iCool立体散热</w:t>
            </w:r>
          </w:p>
          <w:p>
            <w:pPr>
              <w:keepNext w:val="0"/>
              <w:keepLines w:val="0"/>
              <w:widowControl/>
              <w:suppressLineNumbers w:val="0"/>
              <w:tabs>
                <w:tab w:val="left" w:pos="312"/>
              </w:tabs>
              <w:spacing w:before="0" w:beforeAutospacing="0" w:after="0" w:afterAutospacing="0"/>
              <w:ind w:left="0" w:right="0"/>
              <w:jc w:val="left"/>
              <w:textAlignment w:val="top"/>
              <w:rPr>
                <w:rFonts w:hint="default" w:ascii="宋体" w:hAnsi="宋体" w:cs="宋体"/>
                <w:color w:val="auto"/>
                <w:kern w:val="0"/>
                <w:szCs w:val="21"/>
                <w:highlight w:val="none"/>
                <w:lang w:bidi="ar"/>
              </w:rPr>
            </w:pPr>
            <w:r>
              <w:rPr>
                <w:rFonts w:hint="eastAsia" w:ascii="宋体" w:hAnsi="宋体" w:cs="宋体"/>
                <w:color w:val="auto"/>
                <w:kern w:val="0"/>
                <w:szCs w:val="21"/>
                <w:highlight w:val="none"/>
                <w:lang w:bidi="ar"/>
              </w:rPr>
              <w:t>4.模组平整度：≤0.15mm</w:t>
            </w:r>
          </w:p>
          <w:p>
            <w:pPr>
              <w:keepNext w:val="0"/>
              <w:keepLines w:val="0"/>
              <w:widowControl/>
              <w:suppressLineNumbers w:val="0"/>
              <w:tabs>
                <w:tab w:val="left" w:pos="312"/>
              </w:tabs>
              <w:spacing w:before="0" w:beforeAutospacing="0" w:after="0" w:afterAutospacing="0"/>
              <w:ind w:left="0" w:right="0"/>
              <w:jc w:val="left"/>
              <w:textAlignment w:val="top"/>
              <w:rPr>
                <w:rFonts w:hint="default" w:ascii="宋体" w:hAnsi="宋体" w:cs="宋体"/>
                <w:color w:val="auto"/>
                <w:kern w:val="0"/>
                <w:szCs w:val="21"/>
                <w:highlight w:val="none"/>
                <w:lang w:bidi="ar"/>
              </w:rPr>
            </w:pPr>
            <w:r>
              <w:rPr>
                <w:rFonts w:hint="eastAsia" w:ascii="宋体" w:hAnsi="宋体" w:cs="宋体"/>
                <w:color w:val="auto"/>
                <w:kern w:val="0"/>
                <w:szCs w:val="21"/>
                <w:highlight w:val="none"/>
                <w:lang w:bidi="ar"/>
              </w:rPr>
              <w:t>5.白平衡亮度≥450cd/㎡,亮度0-100%可调</w:t>
            </w:r>
          </w:p>
          <w:p>
            <w:pPr>
              <w:keepNext w:val="0"/>
              <w:keepLines w:val="0"/>
              <w:widowControl/>
              <w:suppressLineNumbers w:val="0"/>
              <w:tabs>
                <w:tab w:val="left" w:pos="312"/>
              </w:tabs>
              <w:spacing w:before="0" w:beforeAutospacing="0" w:after="0" w:afterAutospacing="0"/>
              <w:ind w:left="0" w:right="0"/>
              <w:jc w:val="left"/>
              <w:textAlignment w:val="top"/>
              <w:rPr>
                <w:rFonts w:hint="default" w:ascii="宋体" w:hAnsi="宋体" w:cs="宋体"/>
                <w:color w:val="auto"/>
                <w:kern w:val="0"/>
                <w:szCs w:val="21"/>
                <w:highlight w:val="none"/>
                <w:lang w:bidi="ar"/>
              </w:rPr>
            </w:pPr>
            <w:r>
              <w:rPr>
                <w:rFonts w:hint="eastAsia" w:ascii="宋体" w:hAnsi="宋体" w:cs="宋体"/>
                <w:color w:val="auto"/>
                <w:kern w:val="0"/>
                <w:szCs w:val="21"/>
                <w:highlight w:val="none"/>
                <w:lang w:bidi="ar"/>
              </w:rPr>
              <w:t>6.色温可调范围：3000k~15000k，并可自定义色温值</w:t>
            </w:r>
          </w:p>
          <w:p>
            <w:pPr>
              <w:keepNext w:val="0"/>
              <w:keepLines w:val="0"/>
              <w:widowControl/>
              <w:suppressLineNumbers w:val="0"/>
              <w:tabs>
                <w:tab w:val="left" w:pos="312"/>
              </w:tabs>
              <w:spacing w:before="0" w:beforeAutospacing="0" w:after="0" w:afterAutospacing="0"/>
              <w:ind w:left="0" w:right="0"/>
              <w:jc w:val="left"/>
              <w:textAlignment w:val="top"/>
              <w:rPr>
                <w:rFonts w:hint="default" w:ascii="宋体" w:hAnsi="宋体" w:cs="宋体"/>
                <w:color w:val="auto"/>
                <w:kern w:val="0"/>
                <w:szCs w:val="21"/>
                <w:highlight w:val="none"/>
                <w:lang w:bidi="ar"/>
              </w:rPr>
            </w:pPr>
            <w:r>
              <w:rPr>
                <w:rFonts w:hint="eastAsia" w:ascii="宋体" w:hAnsi="宋体" w:cs="宋体"/>
                <w:color w:val="auto"/>
                <w:kern w:val="0"/>
                <w:szCs w:val="21"/>
                <w:highlight w:val="none"/>
                <w:lang w:bidi="ar"/>
              </w:rPr>
              <w:t>7.对比度5500:1</w:t>
            </w:r>
          </w:p>
          <w:p>
            <w:pPr>
              <w:keepNext w:val="0"/>
              <w:keepLines w:val="0"/>
              <w:widowControl/>
              <w:suppressLineNumbers w:val="0"/>
              <w:tabs>
                <w:tab w:val="left" w:pos="312"/>
              </w:tabs>
              <w:spacing w:before="0" w:beforeAutospacing="0" w:after="0" w:afterAutospacing="0"/>
              <w:ind w:left="0" w:right="0"/>
              <w:jc w:val="left"/>
              <w:textAlignment w:val="top"/>
              <w:rPr>
                <w:rFonts w:hint="default" w:ascii="宋体" w:hAnsi="宋体" w:cs="宋体"/>
                <w:color w:val="auto"/>
                <w:kern w:val="0"/>
                <w:szCs w:val="21"/>
                <w:highlight w:val="none"/>
                <w:lang w:bidi="ar"/>
              </w:rPr>
            </w:pPr>
            <w:r>
              <w:rPr>
                <w:rFonts w:hint="eastAsia" w:ascii="宋体" w:hAnsi="宋体" w:cs="宋体"/>
                <w:color w:val="auto"/>
                <w:kern w:val="0"/>
                <w:szCs w:val="21"/>
                <w:highlight w:val="none"/>
                <w:lang w:bidi="ar"/>
              </w:rPr>
              <w:t>8.视角：水平视角≥170°，垂直视角≥150</w:t>
            </w:r>
          </w:p>
          <w:p>
            <w:pPr>
              <w:keepNext w:val="0"/>
              <w:keepLines w:val="0"/>
              <w:widowControl/>
              <w:suppressLineNumbers w:val="0"/>
              <w:tabs>
                <w:tab w:val="left" w:pos="312"/>
              </w:tabs>
              <w:spacing w:before="0" w:beforeAutospacing="0" w:after="0" w:afterAutospacing="0"/>
              <w:ind w:left="0" w:right="0"/>
              <w:jc w:val="left"/>
              <w:textAlignment w:val="top"/>
              <w:rPr>
                <w:rFonts w:hint="default" w:ascii="宋体" w:hAnsi="宋体" w:cs="宋体"/>
                <w:color w:val="auto"/>
                <w:kern w:val="0"/>
                <w:szCs w:val="21"/>
                <w:highlight w:val="none"/>
                <w:lang w:bidi="ar"/>
              </w:rPr>
            </w:pPr>
            <w:r>
              <w:rPr>
                <w:rFonts w:hint="eastAsia" w:ascii="宋体" w:hAnsi="宋体" w:cs="宋体"/>
                <w:color w:val="auto"/>
                <w:kern w:val="0"/>
                <w:szCs w:val="21"/>
                <w:highlight w:val="none"/>
                <w:lang w:bidi="ar"/>
              </w:rPr>
              <w:t>9.刷新频率≥3840HZ</w:t>
            </w:r>
          </w:p>
          <w:p>
            <w:pPr>
              <w:keepNext w:val="0"/>
              <w:keepLines w:val="0"/>
              <w:widowControl/>
              <w:suppressLineNumbers w:val="0"/>
              <w:tabs>
                <w:tab w:val="left" w:pos="312"/>
              </w:tabs>
              <w:spacing w:before="0" w:beforeAutospacing="0" w:after="0" w:afterAutospacing="0"/>
              <w:ind w:left="0" w:right="0"/>
              <w:jc w:val="left"/>
              <w:textAlignment w:val="top"/>
              <w:rPr>
                <w:rFonts w:hint="default" w:ascii="宋体" w:hAnsi="宋体" w:cs="宋体"/>
                <w:color w:val="auto"/>
                <w:kern w:val="0"/>
                <w:szCs w:val="21"/>
                <w:highlight w:val="none"/>
                <w:lang w:bidi="ar"/>
              </w:rPr>
            </w:pPr>
            <w:r>
              <w:rPr>
                <w:rFonts w:hint="eastAsia" w:ascii="宋体" w:hAnsi="宋体" w:cs="宋体"/>
                <w:color w:val="auto"/>
                <w:kern w:val="0"/>
                <w:szCs w:val="21"/>
                <w:highlight w:val="none"/>
                <w:lang w:bidi="ar"/>
              </w:rPr>
              <w:t>10.峰值功耗≤400W/㎡、平均功耗≤130W/㎡</w:t>
            </w:r>
          </w:p>
          <w:p>
            <w:pPr>
              <w:keepNext w:val="0"/>
              <w:keepLines w:val="0"/>
              <w:widowControl/>
              <w:suppressLineNumbers w:val="0"/>
              <w:tabs>
                <w:tab w:val="left" w:pos="312"/>
              </w:tabs>
              <w:spacing w:before="0" w:beforeAutospacing="0" w:after="0" w:afterAutospacing="0"/>
              <w:ind w:left="0" w:right="0"/>
              <w:jc w:val="left"/>
              <w:textAlignment w:val="top"/>
              <w:rPr>
                <w:rFonts w:hint="default" w:ascii="宋体" w:hAnsi="宋体" w:cs="宋体"/>
                <w:color w:val="auto"/>
                <w:kern w:val="0"/>
                <w:szCs w:val="21"/>
                <w:highlight w:val="none"/>
                <w:lang w:bidi="ar"/>
              </w:rPr>
            </w:pPr>
            <w:r>
              <w:rPr>
                <w:rFonts w:hint="eastAsia" w:ascii="宋体" w:hAnsi="宋体" w:cs="宋体"/>
                <w:color w:val="auto"/>
                <w:kern w:val="0"/>
                <w:szCs w:val="21"/>
                <w:highlight w:val="none"/>
                <w:lang w:bidi="ar"/>
              </w:rPr>
              <w:t>11.寿命典型值≥100000小时、平均无故障时间≥100000小时</w:t>
            </w:r>
          </w:p>
          <w:p>
            <w:pPr>
              <w:keepNext w:val="0"/>
              <w:keepLines w:val="0"/>
              <w:widowControl/>
              <w:suppressLineNumbers w:val="0"/>
              <w:tabs>
                <w:tab w:val="left" w:pos="312"/>
              </w:tabs>
              <w:spacing w:before="0" w:beforeAutospacing="0" w:after="0" w:afterAutospacing="0"/>
              <w:ind w:left="0" w:right="0"/>
              <w:jc w:val="left"/>
              <w:textAlignment w:val="top"/>
              <w:rPr>
                <w:rFonts w:hint="default" w:ascii="宋体" w:hAnsi="宋体" w:cs="宋体"/>
                <w:color w:val="auto"/>
                <w:szCs w:val="21"/>
                <w:highlight w:val="none"/>
                <w:u w:val="single"/>
              </w:rPr>
            </w:pPr>
            <w:r>
              <w:rPr>
                <w:rFonts w:hint="eastAsia" w:ascii="宋体" w:hAnsi="宋体" w:cs="宋体"/>
                <w:color w:val="auto"/>
                <w:kern w:val="0"/>
                <w:szCs w:val="21"/>
                <w:highlight w:val="none"/>
                <w:lang w:bidi="ar"/>
              </w:rPr>
              <w:t>12.电源冗余备份，具智能节电功能，软件自动报警功能</w:t>
            </w:r>
          </w:p>
        </w:tc>
        <w:tc>
          <w:tcPr>
            <w:tcW w:w="99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default" w:ascii="宋体" w:hAnsi="宋体" w:cs="宋体"/>
                <w:color w:val="auto"/>
                <w:szCs w:val="21"/>
                <w:highlight w:val="none"/>
              </w:rPr>
            </w:pPr>
            <w:r>
              <w:rPr>
                <w:rFonts w:hint="eastAsia" w:ascii="宋体" w:hAnsi="宋体" w:cs="宋体"/>
                <w:color w:val="auto"/>
                <w:kern w:val="0"/>
                <w:szCs w:val="21"/>
                <w:highlight w:val="none"/>
                <w:lang w:bidi="ar"/>
              </w:rPr>
              <w:t>4.6</w:t>
            </w:r>
          </w:p>
        </w:tc>
        <w:tc>
          <w:tcPr>
            <w:tcW w:w="99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default" w:ascii="宋体" w:hAnsi="宋体" w:cs="宋体"/>
                <w:color w:val="auto"/>
                <w:szCs w:val="21"/>
                <w:highlight w:val="none"/>
              </w:rPr>
            </w:pPr>
            <w:r>
              <w:rPr>
                <w:rFonts w:hint="eastAsia" w:ascii="宋体" w:hAnsi="宋体" w:cs="宋体"/>
                <w:color w:val="auto"/>
                <w:kern w:val="0"/>
                <w:szCs w:val="21"/>
                <w:highlight w:val="none"/>
                <w:lang w:bidi="ar"/>
              </w:rPr>
              <w:t>㎡</w:t>
            </w:r>
          </w:p>
        </w:tc>
      </w:tr>
      <w:tr>
        <w:tblPrEx>
          <w:tblCellMar>
            <w:top w:w="0" w:type="dxa"/>
            <w:left w:w="108" w:type="dxa"/>
            <w:bottom w:w="0" w:type="dxa"/>
            <w:right w:w="108" w:type="dxa"/>
          </w:tblCellMar>
        </w:tblPrEx>
        <w:trPr>
          <w:trHeight w:val="3328" w:hRule="atLeast"/>
        </w:trPr>
        <w:tc>
          <w:tcPr>
            <w:tcW w:w="53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default" w:ascii="宋体" w:hAnsi="宋体" w:cs="宋体"/>
                <w:color w:val="auto"/>
                <w:szCs w:val="21"/>
                <w:highlight w:val="none"/>
              </w:rPr>
            </w:pPr>
            <w:r>
              <w:rPr>
                <w:rFonts w:hint="eastAsia" w:ascii="宋体" w:hAnsi="宋体" w:cs="宋体"/>
                <w:color w:val="auto"/>
                <w:kern w:val="0"/>
                <w:szCs w:val="21"/>
                <w:highlight w:val="none"/>
                <w:lang w:bidi="ar"/>
              </w:rPr>
              <w:t>2</w:t>
            </w:r>
          </w:p>
        </w:tc>
        <w:tc>
          <w:tcPr>
            <w:tcW w:w="158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default" w:ascii="宋体" w:hAnsi="宋体" w:cs="宋体"/>
                <w:color w:val="auto"/>
                <w:szCs w:val="21"/>
                <w:highlight w:val="none"/>
              </w:rPr>
            </w:pPr>
            <w:r>
              <w:rPr>
                <w:rFonts w:hint="eastAsia" w:ascii="宋体" w:hAnsi="宋体" w:cs="宋体"/>
                <w:color w:val="auto"/>
                <w:szCs w:val="21"/>
                <w:highlight w:val="none"/>
              </w:rPr>
              <w:t>接收卡</w:t>
            </w:r>
          </w:p>
        </w:tc>
        <w:tc>
          <w:tcPr>
            <w:tcW w:w="4879" w:type="dxa"/>
            <w:tcBorders>
              <w:top w:val="single" w:color="000000" w:sz="4" w:space="0"/>
              <w:left w:val="single" w:color="000000" w:sz="4" w:space="0"/>
              <w:bottom w:val="single" w:color="000000" w:sz="4" w:space="0"/>
              <w:right w:val="single" w:color="000000" w:sz="4" w:space="0"/>
            </w:tcBorders>
          </w:tcPr>
          <w:p>
            <w:pPr>
              <w:keepNext w:val="0"/>
              <w:keepLines w:val="0"/>
              <w:widowControl/>
              <w:suppressLineNumbers w:val="0"/>
              <w:tabs>
                <w:tab w:val="left" w:pos="312"/>
              </w:tabs>
              <w:spacing w:before="0" w:beforeAutospacing="0" w:after="0" w:afterAutospacing="0"/>
              <w:ind w:left="0" w:right="0"/>
              <w:jc w:val="left"/>
              <w:textAlignment w:val="top"/>
              <w:rPr>
                <w:rFonts w:hint="default" w:ascii="宋体" w:hAnsi="宋体" w:cs="宋体"/>
                <w:color w:val="auto"/>
                <w:kern w:val="0"/>
                <w:szCs w:val="21"/>
                <w:highlight w:val="none"/>
                <w:lang w:bidi="ar"/>
              </w:rPr>
            </w:pPr>
            <w:r>
              <w:rPr>
                <w:rFonts w:hint="eastAsia" w:ascii="宋体" w:hAnsi="宋体" w:cs="宋体"/>
                <w:color w:val="auto"/>
                <w:kern w:val="0"/>
                <w:szCs w:val="21"/>
                <w:highlight w:val="none"/>
                <w:lang w:bidi="ar"/>
              </w:rPr>
              <w:t>1.支持单卡带载≥512*512</w:t>
            </w:r>
          </w:p>
          <w:p>
            <w:pPr>
              <w:keepNext w:val="0"/>
              <w:keepLines w:val="0"/>
              <w:widowControl/>
              <w:suppressLineNumbers w:val="0"/>
              <w:tabs>
                <w:tab w:val="left" w:pos="312"/>
              </w:tabs>
              <w:spacing w:before="0" w:beforeAutospacing="0" w:after="0" w:afterAutospacing="0"/>
              <w:ind w:left="0" w:right="0"/>
              <w:jc w:val="left"/>
              <w:textAlignment w:val="top"/>
              <w:rPr>
                <w:rFonts w:hint="default" w:ascii="宋体" w:hAnsi="宋体" w:cs="宋体"/>
                <w:color w:val="auto"/>
                <w:kern w:val="0"/>
                <w:szCs w:val="21"/>
                <w:highlight w:val="none"/>
                <w:lang w:bidi="ar"/>
              </w:rPr>
            </w:pPr>
            <w:r>
              <w:rPr>
                <w:rFonts w:hint="eastAsia" w:ascii="宋体" w:hAnsi="宋体" w:cs="宋体"/>
                <w:color w:val="auto"/>
                <w:kern w:val="0"/>
                <w:szCs w:val="21"/>
                <w:highlight w:val="none"/>
                <w:lang w:bidi="ar"/>
              </w:rPr>
              <w:t>2.最多支持≥32组并行数据，≥64组串行数据，可扩展为≥128组串行数据</w:t>
            </w:r>
          </w:p>
          <w:p>
            <w:pPr>
              <w:keepNext w:val="0"/>
              <w:keepLines w:val="0"/>
              <w:widowControl/>
              <w:suppressLineNumbers w:val="0"/>
              <w:tabs>
                <w:tab w:val="left" w:pos="312"/>
              </w:tabs>
              <w:spacing w:before="0" w:beforeAutospacing="0" w:after="0" w:afterAutospacing="0"/>
              <w:ind w:left="0" w:right="0"/>
              <w:jc w:val="left"/>
              <w:textAlignment w:val="top"/>
              <w:rPr>
                <w:rFonts w:hint="default" w:ascii="宋体" w:hAnsi="宋体" w:cs="宋体"/>
                <w:color w:val="auto"/>
                <w:kern w:val="0"/>
                <w:szCs w:val="21"/>
                <w:highlight w:val="none"/>
                <w:lang w:bidi="ar"/>
              </w:rPr>
            </w:pPr>
            <w:r>
              <w:rPr>
                <w:rFonts w:hint="eastAsia" w:ascii="宋体" w:hAnsi="宋体" w:cs="宋体"/>
                <w:color w:val="auto"/>
                <w:kern w:val="0"/>
                <w:szCs w:val="21"/>
                <w:highlight w:val="none"/>
                <w:lang w:bidi="ar"/>
              </w:rPr>
              <w:t>3.采用高密度接插件-防松动、防灰尘</w:t>
            </w:r>
          </w:p>
          <w:p>
            <w:pPr>
              <w:keepNext w:val="0"/>
              <w:keepLines w:val="0"/>
              <w:widowControl/>
              <w:suppressLineNumbers w:val="0"/>
              <w:tabs>
                <w:tab w:val="left" w:pos="312"/>
              </w:tabs>
              <w:spacing w:before="0" w:beforeAutospacing="0" w:after="0" w:afterAutospacing="0"/>
              <w:ind w:left="0" w:right="0"/>
              <w:jc w:val="left"/>
              <w:textAlignment w:val="top"/>
              <w:rPr>
                <w:rFonts w:hint="default" w:ascii="宋体" w:hAnsi="宋体" w:cs="宋体"/>
                <w:color w:val="auto"/>
                <w:kern w:val="0"/>
                <w:szCs w:val="21"/>
                <w:highlight w:val="none"/>
                <w:lang w:bidi="ar"/>
              </w:rPr>
            </w:pPr>
            <w:r>
              <w:rPr>
                <w:rFonts w:hint="eastAsia" w:ascii="宋体" w:hAnsi="宋体" w:cs="宋体"/>
                <w:color w:val="auto"/>
                <w:kern w:val="0"/>
                <w:szCs w:val="21"/>
                <w:highlight w:val="none"/>
                <w:lang w:bidi="ar"/>
              </w:rPr>
              <w:t>4.支持HDR、HDR10optima和HLG</w:t>
            </w:r>
          </w:p>
          <w:p>
            <w:pPr>
              <w:keepNext w:val="0"/>
              <w:keepLines w:val="0"/>
              <w:widowControl/>
              <w:suppressLineNumbers w:val="0"/>
              <w:tabs>
                <w:tab w:val="left" w:pos="312"/>
              </w:tabs>
              <w:spacing w:before="0" w:beforeAutospacing="0" w:after="0" w:afterAutospacing="0"/>
              <w:ind w:left="0" w:right="0"/>
              <w:jc w:val="left"/>
              <w:textAlignment w:val="top"/>
              <w:rPr>
                <w:rFonts w:hint="default" w:ascii="宋体" w:hAnsi="宋体" w:cs="宋体"/>
                <w:color w:val="auto"/>
                <w:kern w:val="0"/>
                <w:szCs w:val="21"/>
                <w:highlight w:val="none"/>
                <w:lang w:bidi="ar"/>
              </w:rPr>
            </w:pPr>
            <w:r>
              <w:rPr>
                <w:rFonts w:hint="eastAsia" w:ascii="宋体" w:hAnsi="宋体" w:cs="宋体"/>
                <w:color w:val="auto"/>
                <w:kern w:val="0"/>
                <w:szCs w:val="21"/>
                <w:highlight w:val="none"/>
                <w:lang w:bidi="ar"/>
              </w:rPr>
              <w:t>5.支持18bit+显示技术</w:t>
            </w:r>
          </w:p>
          <w:p>
            <w:pPr>
              <w:keepNext w:val="0"/>
              <w:keepLines w:val="0"/>
              <w:widowControl/>
              <w:suppressLineNumbers w:val="0"/>
              <w:tabs>
                <w:tab w:val="left" w:pos="312"/>
              </w:tabs>
              <w:spacing w:before="0" w:beforeAutospacing="0" w:after="0" w:afterAutospacing="0"/>
              <w:ind w:left="0" w:right="0"/>
              <w:jc w:val="left"/>
              <w:textAlignment w:val="top"/>
              <w:rPr>
                <w:rFonts w:hint="default" w:ascii="宋体" w:hAnsi="宋体" w:cs="宋体"/>
                <w:color w:val="auto"/>
                <w:kern w:val="0"/>
                <w:szCs w:val="21"/>
                <w:highlight w:val="none"/>
                <w:lang w:bidi="ar"/>
              </w:rPr>
            </w:pPr>
            <w:r>
              <w:rPr>
                <w:rFonts w:hint="eastAsia" w:ascii="宋体" w:hAnsi="宋体" w:cs="宋体"/>
                <w:color w:val="auto"/>
                <w:kern w:val="0"/>
                <w:szCs w:val="21"/>
                <w:highlight w:val="none"/>
                <w:lang w:bidi="ar"/>
              </w:rPr>
              <w:t>6.支持LVDS传输及支持画面90度倍数旋转</w:t>
            </w:r>
          </w:p>
          <w:p>
            <w:pPr>
              <w:keepNext w:val="0"/>
              <w:keepLines w:val="0"/>
              <w:widowControl/>
              <w:suppressLineNumbers w:val="0"/>
              <w:spacing w:before="0" w:beforeAutospacing="0" w:after="0" w:afterAutospacing="0"/>
              <w:ind w:left="0" w:right="0"/>
              <w:jc w:val="left"/>
              <w:textAlignment w:val="top"/>
              <w:rPr>
                <w:rFonts w:hint="default" w:ascii="宋体" w:hAnsi="宋体" w:cs="宋体"/>
                <w:color w:val="auto"/>
                <w:kern w:val="0"/>
                <w:szCs w:val="21"/>
                <w:highlight w:val="none"/>
                <w:lang w:bidi="ar"/>
              </w:rPr>
            </w:pPr>
            <w:r>
              <w:rPr>
                <w:rFonts w:hint="eastAsia" w:ascii="宋体" w:hAnsi="宋体" w:cs="宋体"/>
                <w:color w:val="auto"/>
                <w:kern w:val="0"/>
                <w:szCs w:val="21"/>
                <w:highlight w:val="none"/>
                <w:lang w:bidi="ar"/>
              </w:rPr>
              <w:t>7.支持智能模组，无需监控卡，可以实现温度、电压、排线、灯点检测、制造日期、制造商信息检测</w:t>
            </w:r>
          </w:p>
          <w:p>
            <w:pPr>
              <w:keepNext w:val="0"/>
              <w:keepLines w:val="0"/>
              <w:widowControl/>
              <w:suppressLineNumbers w:val="0"/>
              <w:spacing w:before="0" w:beforeAutospacing="0" w:after="0" w:afterAutospacing="0"/>
              <w:ind w:left="0" w:right="0"/>
              <w:jc w:val="left"/>
              <w:textAlignment w:val="top"/>
              <w:rPr>
                <w:rFonts w:hint="default" w:ascii="宋体" w:hAnsi="宋体" w:cs="宋体"/>
                <w:color w:val="auto"/>
                <w:szCs w:val="21"/>
                <w:highlight w:val="none"/>
              </w:rPr>
            </w:pPr>
            <w:r>
              <w:rPr>
                <w:rFonts w:hint="eastAsia" w:ascii="宋体" w:hAnsi="宋体" w:cs="宋体"/>
                <w:color w:val="auto"/>
                <w:kern w:val="0"/>
                <w:szCs w:val="21"/>
                <w:highlight w:val="none"/>
                <w:lang w:bidi="ar"/>
              </w:rPr>
              <w:t>8.支持Mapping功能及双程序备份功能</w:t>
            </w:r>
          </w:p>
        </w:tc>
        <w:tc>
          <w:tcPr>
            <w:tcW w:w="99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default" w:ascii="宋体" w:hAnsi="宋体" w:cs="宋体"/>
                <w:color w:val="auto"/>
                <w:szCs w:val="21"/>
                <w:highlight w:val="none"/>
              </w:rPr>
            </w:pPr>
            <w:r>
              <w:rPr>
                <w:rFonts w:hint="eastAsia" w:ascii="宋体" w:hAnsi="宋体" w:cs="宋体"/>
                <w:color w:val="auto"/>
                <w:kern w:val="0"/>
                <w:szCs w:val="21"/>
                <w:highlight w:val="none"/>
                <w:lang w:bidi="ar"/>
              </w:rPr>
              <w:t>20</w:t>
            </w:r>
          </w:p>
        </w:tc>
        <w:tc>
          <w:tcPr>
            <w:tcW w:w="99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default" w:ascii="宋体" w:hAnsi="宋体" w:cs="宋体"/>
                <w:color w:val="auto"/>
                <w:szCs w:val="21"/>
                <w:highlight w:val="none"/>
              </w:rPr>
            </w:pPr>
            <w:r>
              <w:rPr>
                <w:rFonts w:hint="eastAsia" w:ascii="宋体" w:hAnsi="宋体" w:cs="宋体"/>
                <w:color w:val="auto"/>
                <w:kern w:val="0"/>
                <w:szCs w:val="21"/>
                <w:highlight w:val="none"/>
                <w:lang w:bidi="ar"/>
              </w:rPr>
              <w:t>张</w:t>
            </w:r>
          </w:p>
        </w:tc>
      </w:tr>
      <w:tr>
        <w:tblPrEx>
          <w:tblCellMar>
            <w:top w:w="0" w:type="dxa"/>
            <w:left w:w="108" w:type="dxa"/>
            <w:bottom w:w="0" w:type="dxa"/>
            <w:right w:w="108" w:type="dxa"/>
          </w:tblCellMar>
        </w:tblPrEx>
        <w:trPr>
          <w:trHeight w:val="47" w:hRule="atLeast"/>
        </w:trPr>
        <w:tc>
          <w:tcPr>
            <w:tcW w:w="8980" w:type="dxa"/>
            <w:gridSpan w:val="5"/>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textAlignment w:val="center"/>
              <w:rPr>
                <w:rFonts w:hint="default" w:ascii="宋体" w:hAnsi="宋体" w:cs="宋体"/>
                <w:color w:val="auto"/>
                <w:kern w:val="0"/>
                <w:szCs w:val="21"/>
                <w:highlight w:val="none"/>
                <w:lang w:bidi="ar"/>
              </w:rPr>
            </w:pPr>
            <w:r>
              <w:rPr>
                <w:rFonts w:hint="eastAsia" w:ascii="宋体" w:hAnsi="宋体" w:cs="宋体"/>
                <w:color w:val="auto"/>
                <w:kern w:val="0"/>
                <w:szCs w:val="21"/>
                <w:highlight w:val="none"/>
                <w:lang w:bidi="ar"/>
              </w:rPr>
              <w:t>二、屏幕2</w:t>
            </w:r>
          </w:p>
        </w:tc>
      </w:tr>
      <w:tr>
        <w:tblPrEx>
          <w:tblCellMar>
            <w:top w:w="0" w:type="dxa"/>
            <w:left w:w="108" w:type="dxa"/>
            <w:bottom w:w="0" w:type="dxa"/>
            <w:right w:w="108" w:type="dxa"/>
          </w:tblCellMar>
        </w:tblPrEx>
        <w:trPr>
          <w:trHeight w:val="557" w:hRule="atLeast"/>
        </w:trPr>
        <w:tc>
          <w:tcPr>
            <w:tcW w:w="53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default" w:ascii="宋体" w:hAnsi="宋体" w:cs="宋体"/>
                <w:color w:val="auto"/>
                <w:szCs w:val="21"/>
                <w:highlight w:val="none"/>
              </w:rPr>
            </w:pPr>
            <w:r>
              <w:rPr>
                <w:rFonts w:hint="eastAsia" w:ascii="宋体" w:hAnsi="宋体" w:cs="宋体"/>
                <w:color w:val="auto"/>
                <w:kern w:val="0"/>
                <w:szCs w:val="21"/>
                <w:highlight w:val="none"/>
                <w:lang w:bidi="ar"/>
              </w:rPr>
              <w:t>3</w:t>
            </w:r>
          </w:p>
        </w:tc>
        <w:tc>
          <w:tcPr>
            <w:tcW w:w="158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default" w:ascii="宋体" w:hAnsi="宋体" w:cs="宋体"/>
                <w:color w:val="auto"/>
                <w:szCs w:val="21"/>
                <w:highlight w:val="none"/>
              </w:rPr>
            </w:pPr>
            <w:r>
              <w:rPr>
                <w:rFonts w:hint="eastAsia" w:ascii="宋体" w:hAnsi="宋体" w:cs="宋体"/>
                <w:color w:val="auto"/>
                <w:szCs w:val="21"/>
                <w:highlight w:val="none"/>
              </w:rPr>
              <w:t>◆</w:t>
            </w:r>
            <w:r>
              <w:rPr>
                <w:rFonts w:hint="eastAsia" w:ascii="宋体" w:hAnsi="宋体" w:cs="宋体"/>
                <w:color w:val="auto"/>
                <w:kern w:val="0"/>
                <w:szCs w:val="21"/>
                <w:highlight w:val="none"/>
                <w:lang w:bidi="ar"/>
              </w:rPr>
              <w:t>小间距LED显示屏</w:t>
            </w:r>
            <w:r>
              <w:rPr>
                <w:rFonts w:hint="eastAsia" w:ascii="宋体" w:hAnsi="宋体" w:cs="宋体"/>
                <w:b/>
                <w:bCs/>
                <w:color w:val="auto"/>
                <w:szCs w:val="21"/>
                <w:highlight w:val="none"/>
              </w:rPr>
              <w:t>（核心产品）</w:t>
            </w:r>
          </w:p>
        </w:tc>
        <w:tc>
          <w:tcPr>
            <w:tcW w:w="4879" w:type="dxa"/>
            <w:tcBorders>
              <w:top w:val="single" w:color="000000" w:sz="4" w:space="0"/>
              <w:left w:val="single" w:color="000000" w:sz="4" w:space="0"/>
              <w:bottom w:val="single" w:color="000000" w:sz="4" w:space="0"/>
              <w:right w:val="single" w:color="000000" w:sz="4" w:space="0"/>
            </w:tcBorders>
          </w:tcPr>
          <w:p>
            <w:pPr>
              <w:keepNext w:val="0"/>
              <w:keepLines w:val="0"/>
              <w:widowControl/>
              <w:suppressLineNumbers w:val="0"/>
              <w:tabs>
                <w:tab w:val="left" w:pos="312"/>
              </w:tabs>
              <w:spacing w:before="0" w:beforeAutospacing="0" w:after="0" w:afterAutospacing="0"/>
              <w:ind w:left="0" w:right="0"/>
              <w:jc w:val="left"/>
              <w:textAlignment w:val="top"/>
              <w:rPr>
                <w:rFonts w:hint="default" w:ascii="宋体" w:hAnsi="宋体" w:cs="宋体"/>
                <w:color w:val="auto"/>
                <w:kern w:val="0"/>
                <w:szCs w:val="21"/>
                <w:highlight w:val="none"/>
                <w:lang w:bidi="ar"/>
              </w:rPr>
            </w:pPr>
            <w:r>
              <w:rPr>
                <w:rFonts w:hint="eastAsia" w:ascii="宋体" w:hAnsi="宋体" w:cs="宋体"/>
                <w:color w:val="auto"/>
                <w:kern w:val="0"/>
                <w:szCs w:val="21"/>
                <w:highlight w:val="none"/>
                <w:lang w:bidi="ar"/>
              </w:rPr>
              <w:t>1.屏幕显示面积:宽1.28m*高1.28m*2=3.28㎡,整屏显示分辨率：≥宽1024点*高1024点</w:t>
            </w:r>
          </w:p>
          <w:p>
            <w:pPr>
              <w:keepNext w:val="0"/>
              <w:keepLines w:val="0"/>
              <w:widowControl/>
              <w:suppressLineNumbers w:val="0"/>
              <w:tabs>
                <w:tab w:val="left" w:pos="312"/>
              </w:tabs>
              <w:spacing w:before="0" w:beforeAutospacing="0" w:after="0" w:afterAutospacing="0"/>
              <w:ind w:left="0" w:right="0"/>
              <w:jc w:val="left"/>
              <w:textAlignment w:val="top"/>
              <w:rPr>
                <w:rFonts w:hint="default" w:ascii="宋体" w:hAnsi="宋体" w:cs="宋体"/>
                <w:color w:val="auto"/>
                <w:kern w:val="0"/>
                <w:szCs w:val="21"/>
                <w:highlight w:val="none"/>
                <w:lang w:bidi="ar"/>
              </w:rPr>
            </w:pPr>
            <w:r>
              <w:rPr>
                <w:rFonts w:hint="eastAsia" w:ascii="宋体" w:hAnsi="宋体" w:cs="宋体"/>
                <w:color w:val="auto"/>
                <w:kern w:val="0"/>
                <w:szCs w:val="21"/>
                <w:highlight w:val="none"/>
                <w:lang w:bidi="ar"/>
              </w:rPr>
              <w:t>2.像素间距≤1.25mm</w:t>
            </w:r>
          </w:p>
          <w:p>
            <w:pPr>
              <w:keepNext w:val="0"/>
              <w:keepLines w:val="0"/>
              <w:widowControl/>
              <w:suppressLineNumbers w:val="0"/>
              <w:tabs>
                <w:tab w:val="left" w:pos="312"/>
              </w:tabs>
              <w:spacing w:before="0" w:beforeAutospacing="0" w:after="0" w:afterAutospacing="0"/>
              <w:ind w:left="0" w:right="0"/>
              <w:jc w:val="left"/>
              <w:textAlignment w:val="top"/>
              <w:rPr>
                <w:rFonts w:hint="default" w:ascii="宋体" w:hAnsi="宋体" w:cs="宋体"/>
                <w:color w:val="auto"/>
                <w:kern w:val="0"/>
                <w:szCs w:val="21"/>
                <w:highlight w:val="none"/>
                <w:lang w:bidi="ar"/>
              </w:rPr>
            </w:pPr>
            <w:r>
              <w:rPr>
                <w:rFonts w:hint="eastAsia" w:ascii="宋体" w:hAnsi="宋体" w:cs="宋体"/>
                <w:color w:val="auto"/>
                <w:kern w:val="0"/>
                <w:szCs w:val="21"/>
                <w:highlight w:val="none"/>
                <w:lang w:bidi="ar"/>
              </w:rPr>
              <w:t>3.铝底壳工艺，模组iCool立体散热</w:t>
            </w:r>
          </w:p>
          <w:p>
            <w:pPr>
              <w:keepNext w:val="0"/>
              <w:keepLines w:val="0"/>
              <w:widowControl/>
              <w:suppressLineNumbers w:val="0"/>
              <w:tabs>
                <w:tab w:val="left" w:pos="312"/>
              </w:tabs>
              <w:spacing w:before="0" w:beforeAutospacing="0" w:after="0" w:afterAutospacing="0"/>
              <w:ind w:left="0" w:right="0"/>
              <w:jc w:val="left"/>
              <w:textAlignment w:val="top"/>
              <w:rPr>
                <w:rFonts w:hint="default" w:ascii="宋体" w:hAnsi="宋体" w:cs="宋体"/>
                <w:color w:val="auto"/>
                <w:kern w:val="0"/>
                <w:szCs w:val="21"/>
                <w:highlight w:val="none"/>
                <w:lang w:bidi="ar"/>
              </w:rPr>
            </w:pPr>
            <w:r>
              <w:rPr>
                <w:rFonts w:hint="eastAsia" w:ascii="宋体" w:hAnsi="宋体" w:cs="宋体"/>
                <w:color w:val="auto"/>
                <w:kern w:val="0"/>
                <w:szCs w:val="21"/>
                <w:highlight w:val="none"/>
                <w:lang w:bidi="ar"/>
              </w:rPr>
              <w:t>4.模组平整度：≤0.15mm</w:t>
            </w:r>
          </w:p>
          <w:p>
            <w:pPr>
              <w:keepNext w:val="0"/>
              <w:keepLines w:val="0"/>
              <w:widowControl/>
              <w:suppressLineNumbers w:val="0"/>
              <w:tabs>
                <w:tab w:val="left" w:pos="312"/>
              </w:tabs>
              <w:spacing w:before="0" w:beforeAutospacing="0" w:after="0" w:afterAutospacing="0"/>
              <w:ind w:left="0" w:right="0"/>
              <w:jc w:val="left"/>
              <w:textAlignment w:val="top"/>
              <w:rPr>
                <w:rFonts w:hint="default" w:ascii="宋体" w:hAnsi="宋体" w:cs="宋体"/>
                <w:color w:val="auto"/>
                <w:kern w:val="0"/>
                <w:szCs w:val="21"/>
                <w:highlight w:val="none"/>
                <w:lang w:bidi="ar"/>
              </w:rPr>
            </w:pPr>
            <w:r>
              <w:rPr>
                <w:rFonts w:hint="eastAsia" w:ascii="宋体" w:hAnsi="宋体" w:cs="宋体"/>
                <w:color w:val="auto"/>
                <w:kern w:val="0"/>
                <w:szCs w:val="21"/>
                <w:highlight w:val="none"/>
                <w:lang w:bidi="ar"/>
              </w:rPr>
              <w:t>5.白平衡亮度≥450cd/㎡,亮度0-100%可调</w:t>
            </w:r>
          </w:p>
          <w:p>
            <w:pPr>
              <w:keepNext w:val="0"/>
              <w:keepLines w:val="0"/>
              <w:widowControl/>
              <w:suppressLineNumbers w:val="0"/>
              <w:tabs>
                <w:tab w:val="left" w:pos="312"/>
              </w:tabs>
              <w:spacing w:before="0" w:beforeAutospacing="0" w:after="0" w:afterAutospacing="0"/>
              <w:ind w:left="0" w:right="0"/>
              <w:jc w:val="left"/>
              <w:textAlignment w:val="top"/>
              <w:rPr>
                <w:rFonts w:hint="default" w:ascii="宋体" w:hAnsi="宋体" w:cs="宋体"/>
                <w:color w:val="auto"/>
                <w:kern w:val="0"/>
                <w:szCs w:val="21"/>
                <w:highlight w:val="none"/>
                <w:lang w:bidi="ar"/>
              </w:rPr>
            </w:pPr>
            <w:r>
              <w:rPr>
                <w:rFonts w:hint="eastAsia" w:ascii="宋体" w:hAnsi="宋体" w:cs="宋体"/>
                <w:color w:val="auto"/>
                <w:kern w:val="0"/>
                <w:szCs w:val="21"/>
                <w:highlight w:val="none"/>
                <w:lang w:bidi="ar"/>
              </w:rPr>
              <w:t>6.色温可调范围：3000k~15000k，并可自定义色温值</w:t>
            </w:r>
          </w:p>
          <w:p>
            <w:pPr>
              <w:keepNext w:val="0"/>
              <w:keepLines w:val="0"/>
              <w:widowControl/>
              <w:suppressLineNumbers w:val="0"/>
              <w:tabs>
                <w:tab w:val="left" w:pos="312"/>
              </w:tabs>
              <w:spacing w:before="0" w:beforeAutospacing="0" w:after="0" w:afterAutospacing="0"/>
              <w:ind w:left="0" w:right="0"/>
              <w:jc w:val="left"/>
              <w:textAlignment w:val="top"/>
              <w:rPr>
                <w:rFonts w:hint="default" w:ascii="宋体" w:hAnsi="宋体" w:cs="宋体"/>
                <w:color w:val="auto"/>
                <w:kern w:val="0"/>
                <w:szCs w:val="21"/>
                <w:highlight w:val="none"/>
                <w:lang w:bidi="ar"/>
              </w:rPr>
            </w:pPr>
            <w:r>
              <w:rPr>
                <w:rFonts w:hint="eastAsia" w:ascii="宋体" w:hAnsi="宋体" w:cs="宋体"/>
                <w:color w:val="auto"/>
                <w:kern w:val="0"/>
                <w:szCs w:val="21"/>
                <w:highlight w:val="none"/>
                <w:lang w:bidi="ar"/>
              </w:rPr>
              <w:t>7.对比度5500:1</w:t>
            </w:r>
          </w:p>
          <w:p>
            <w:pPr>
              <w:keepNext w:val="0"/>
              <w:keepLines w:val="0"/>
              <w:widowControl/>
              <w:suppressLineNumbers w:val="0"/>
              <w:tabs>
                <w:tab w:val="left" w:pos="312"/>
              </w:tabs>
              <w:spacing w:before="0" w:beforeAutospacing="0" w:after="0" w:afterAutospacing="0"/>
              <w:ind w:left="0" w:right="0"/>
              <w:jc w:val="left"/>
              <w:textAlignment w:val="top"/>
              <w:rPr>
                <w:rFonts w:hint="default" w:ascii="宋体" w:hAnsi="宋体" w:cs="宋体"/>
                <w:color w:val="auto"/>
                <w:kern w:val="0"/>
                <w:szCs w:val="21"/>
                <w:highlight w:val="none"/>
                <w:lang w:bidi="ar"/>
              </w:rPr>
            </w:pPr>
            <w:r>
              <w:rPr>
                <w:rFonts w:hint="eastAsia" w:ascii="宋体" w:hAnsi="宋体" w:cs="宋体"/>
                <w:color w:val="auto"/>
                <w:kern w:val="0"/>
                <w:szCs w:val="21"/>
                <w:highlight w:val="none"/>
                <w:lang w:bidi="ar"/>
              </w:rPr>
              <w:t>8.视角：水平视角≥170°，垂直视角≥150</w:t>
            </w:r>
          </w:p>
          <w:p>
            <w:pPr>
              <w:keepNext w:val="0"/>
              <w:keepLines w:val="0"/>
              <w:widowControl/>
              <w:suppressLineNumbers w:val="0"/>
              <w:tabs>
                <w:tab w:val="left" w:pos="312"/>
              </w:tabs>
              <w:spacing w:before="0" w:beforeAutospacing="0" w:after="0" w:afterAutospacing="0"/>
              <w:ind w:left="0" w:right="0"/>
              <w:jc w:val="left"/>
              <w:textAlignment w:val="top"/>
              <w:rPr>
                <w:rFonts w:hint="default" w:ascii="宋体" w:hAnsi="宋体" w:cs="宋体"/>
                <w:color w:val="auto"/>
                <w:kern w:val="0"/>
                <w:szCs w:val="21"/>
                <w:highlight w:val="none"/>
                <w:lang w:bidi="ar"/>
              </w:rPr>
            </w:pPr>
            <w:r>
              <w:rPr>
                <w:rFonts w:hint="eastAsia" w:ascii="宋体" w:hAnsi="宋体" w:cs="宋体"/>
                <w:color w:val="auto"/>
                <w:kern w:val="0"/>
                <w:szCs w:val="21"/>
                <w:highlight w:val="none"/>
                <w:lang w:bidi="ar"/>
              </w:rPr>
              <w:t>9.刷新频率≥3840HZ</w:t>
            </w:r>
          </w:p>
          <w:p>
            <w:pPr>
              <w:keepNext w:val="0"/>
              <w:keepLines w:val="0"/>
              <w:widowControl/>
              <w:suppressLineNumbers w:val="0"/>
              <w:tabs>
                <w:tab w:val="left" w:pos="312"/>
              </w:tabs>
              <w:spacing w:before="0" w:beforeAutospacing="0" w:after="0" w:afterAutospacing="0"/>
              <w:ind w:left="0" w:right="0"/>
              <w:jc w:val="left"/>
              <w:textAlignment w:val="top"/>
              <w:rPr>
                <w:rFonts w:hint="default" w:ascii="宋体" w:hAnsi="宋体" w:cs="宋体"/>
                <w:color w:val="auto"/>
                <w:kern w:val="0"/>
                <w:szCs w:val="21"/>
                <w:highlight w:val="none"/>
                <w:lang w:bidi="ar"/>
              </w:rPr>
            </w:pPr>
            <w:r>
              <w:rPr>
                <w:rFonts w:hint="eastAsia" w:ascii="宋体" w:hAnsi="宋体" w:cs="宋体"/>
                <w:color w:val="auto"/>
                <w:kern w:val="0"/>
                <w:szCs w:val="21"/>
                <w:highlight w:val="none"/>
                <w:lang w:bidi="ar"/>
              </w:rPr>
              <w:t>10.峰值功耗≤400W/㎡、平均功耗≤130W/㎡</w:t>
            </w:r>
          </w:p>
          <w:p>
            <w:pPr>
              <w:keepNext w:val="0"/>
              <w:keepLines w:val="0"/>
              <w:widowControl/>
              <w:suppressLineNumbers w:val="0"/>
              <w:tabs>
                <w:tab w:val="left" w:pos="312"/>
              </w:tabs>
              <w:spacing w:before="0" w:beforeAutospacing="0" w:after="0" w:afterAutospacing="0"/>
              <w:ind w:left="0" w:right="0"/>
              <w:jc w:val="left"/>
              <w:textAlignment w:val="top"/>
              <w:rPr>
                <w:rFonts w:hint="default" w:ascii="宋体" w:hAnsi="宋体" w:cs="宋体"/>
                <w:color w:val="auto"/>
                <w:kern w:val="0"/>
                <w:szCs w:val="21"/>
                <w:highlight w:val="none"/>
                <w:lang w:bidi="ar"/>
              </w:rPr>
            </w:pPr>
            <w:r>
              <w:rPr>
                <w:rFonts w:hint="eastAsia" w:ascii="宋体" w:hAnsi="宋体" w:cs="宋体"/>
                <w:color w:val="auto"/>
                <w:kern w:val="0"/>
                <w:szCs w:val="21"/>
                <w:highlight w:val="none"/>
                <w:lang w:bidi="ar"/>
              </w:rPr>
              <w:t>11.寿命典型值≥100000小时、平均无故障时间≥100000小时</w:t>
            </w:r>
          </w:p>
          <w:p>
            <w:pPr>
              <w:keepNext w:val="0"/>
              <w:keepLines w:val="0"/>
              <w:widowControl/>
              <w:suppressLineNumbers w:val="0"/>
              <w:tabs>
                <w:tab w:val="left" w:pos="312"/>
              </w:tabs>
              <w:spacing w:before="0" w:beforeAutospacing="0" w:after="0" w:afterAutospacing="0"/>
              <w:ind w:left="0" w:right="0"/>
              <w:jc w:val="left"/>
              <w:textAlignment w:val="top"/>
              <w:rPr>
                <w:rFonts w:hint="default" w:ascii="宋体" w:hAnsi="宋体" w:cs="宋体"/>
                <w:color w:val="auto"/>
                <w:kern w:val="0"/>
                <w:szCs w:val="21"/>
                <w:highlight w:val="none"/>
                <w:lang w:bidi="ar"/>
              </w:rPr>
            </w:pPr>
            <w:r>
              <w:rPr>
                <w:rFonts w:hint="eastAsia" w:ascii="宋体" w:hAnsi="宋体" w:cs="宋体"/>
                <w:color w:val="auto"/>
                <w:kern w:val="0"/>
                <w:szCs w:val="21"/>
                <w:highlight w:val="none"/>
                <w:lang w:bidi="ar"/>
              </w:rPr>
              <w:t>12.电源冗余备份，具智能节电功能，软件自动报警功能</w:t>
            </w:r>
          </w:p>
        </w:tc>
        <w:tc>
          <w:tcPr>
            <w:tcW w:w="99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default" w:ascii="宋体" w:hAnsi="宋体" w:cs="宋体"/>
                <w:color w:val="auto"/>
                <w:szCs w:val="21"/>
                <w:highlight w:val="none"/>
              </w:rPr>
            </w:pPr>
            <w:r>
              <w:rPr>
                <w:rFonts w:hint="eastAsia" w:ascii="宋体" w:hAnsi="宋体" w:cs="宋体"/>
                <w:color w:val="auto"/>
                <w:kern w:val="0"/>
                <w:szCs w:val="21"/>
                <w:highlight w:val="none"/>
                <w:lang w:bidi="ar"/>
              </w:rPr>
              <w:t>3.28</w:t>
            </w:r>
          </w:p>
        </w:tc>
        <w:tc>
          <w:tcPr>
            <w:tcW w:w="99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default" w:ascii="宋体" w:hAnsi="宋体" w:cs="宋体"/>
                <w:color w:val="auto"/>
                <w:szCs w:val="21"/>
                <w:highlight w:val="none"/>
              </w:rPr>
            </w:pPr>
            <w:r>
              <w:rPr>
                <w:rFonts w:hint="eastAsia" w:ascii="宋体" w:hAnsi="宋体" w:cs="宋体"/>
                <w:color w:val="auto"/>
                <w:kern w:val="0"/>
                <w:szCs w:val="21"/>
                <w:highlight w:val="none"/>
                <w:lang w:bidi="ar"/>
              </w:rPr>
              <w:t>㎡</w:t>
            </w:r>
          </w:p>
        </w:tc>
      </w:tr>
      <w:tr>
        <w:tblPrEx>
          <w:tblCellMar>
            <w:top w:w="0" w:type="dxa"/>
            <w:left w:w="108" w:type="dxa"/>
            <w:bottom w:w="0" w:type="dxa"/>
            <w:right w:w="108" w:type="dxa"/>
          </w:tblCellMar>
        </w:tblPrEx>
        <w:trPr>
          <w:trHeight w:val="3200" w:hRule="atLeast"/>
        </w:trPr>
        <w:tc>
          <w:tcPr>
            <w:tcW w:w="53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default" w:ascii="宋体" w:hAnsi="宋体" w:cs="宋体"/>
                <w:color w:val="auto"/>
                <w:szCs w:val="21"/>
                <w:highlight w:val="none"/>
              </w:rPr>
            </w:pPr>
            <w:r>
              <w:rPr>
                <w:rFonts w:hint="eastAsia" w:ascii="宋体" w:hAnsi="宋体" w:cs="宋体"/>
                <w:color w:val="auto"/>
                <w:kern w:val="0"/>
                <w:szCs w:val="21"/>
                <w:highlight w:val="none"/>
                <w:lang w:bidi="ar"/>
              </w:rPr>
              <w:t>4</w:t>
            </w:r>
          </w:p>
        </w:tc>
        <w:tc>
          <w:tcPr>
            <w:tcW w:w="158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default" w:ascii="宋体" w:hAnsi="宋体" w:cs="宋体"/>
                <w:color w:val="auto"/>
                <w:szCs w:val="21"/>
                <w:highlight w:val="none"/>
              </w:rPr>
            </w:pPr>
            <w:r>
              <w:rPr>
                <w:rFonts w:hint="eastAsia" w:ascii="宋体" w:hAnsi="宋体" w:cs="宋体"/>
                <w:color w:val="auto"/>
                <w:szCs w:val="21"/>
                <w:highlight w:val="none"/>
              </w:rPr>
              <w:t>接收卡</w:t>
            </w:r>
          </w:p>
        </w:tc>
        <w:tc>
          <w:tcPr>
            <w:tcW w:w="4879" w:type="dxa"/>
            <w:tcBorders>
              <w:top w:val="single" w:color="000000" w:sz="4" w:space="0"/>
              <w:left w:val="single" w:color="000000" w:sz="4" w:space="0"/>
              <w:bottom w:val="single" w:color="000000" w:sz="4" w:space="0"/>
              <w:right w:val="single" w:color="000000" w:sz="4" w:space="0"/>
            </w:tcBorders>
          </w:tcPr>
          <w:p>
            <w:pPr>
              <w:keepNext w:val="0"/>
              <w:keepLines w:val="0"/>
              <w:widowControl/>
              <w:suppressLineNumbers w:val="0"/>
              <w:tabs>
                <w:tab w:val="left" w:pos="312"/>
              </w:tabs>
              <w:spacing w:before="0" w:beforeAutospacing="0" w:after="0" w:afterAutospacing="0"/>
              <w:ind w:left="0" w:right="0"/>
              <w:jc w:val="left"/>
              <w:textAlignment w:val="top"/>
              <w:rPr>
                <w:rFonts w:hint="default" w:ascii="宋体" w:hAnsi="宋体" w:cs="宋体"/>
                <w:color w:val="auto"/>
                <w:kern w:val="0"/>
                <w:szCs w:val="21"/>
                <w:highlight w:val="none"/>
                <w:lang w:bidi="ar"/>
              </w:rPr>
            </w:pPr>
            <w:r>
              <w:rPr>
                <w:rFonts w:hint="eastAsia" w:ascii="宋体" w:hAnsi="宋体" w:cs="宋体"/>
                <w:color w:val="auto"/>
                <w:kern w:val="0"/>
                <w:szCs w:val="21"/>
                <w:highlight w:val="none"/>
                <w:lang w:bidi="ar"/>
              </w:rPr>
              <w:t>1.支持单卡带载≥512*512</w:t>
            </w:r>
          </w:p>
          <w:p>
            <w:pPr>
              <w:keepNext w:val="0"/>
              <w:keepLines w:val="0"/>
              <w:widowControl/>
              <w:suppressLineNumbers w:val="0"/>
              <w:tabs>
                <w:tab w:val="left" w:pos="312"/>
              </w:tabs>
              <w:spacing w:before="0" w:beforeAutospacing="0" w:after="0" w:afterAutospacing="0"/>
              <w:ind w:left="0" w:right="0"/>
              <w:jc w:val="left"/>
              <w:textAlignment w:val="top"/>
              <w:rPr>
                <w:rFonts w:hint="default" w:ascii="宋体" w:hAnsi="宋体" w:cs="宋体"/>
                <w:color w:val="auto"/>
                <w:kern w:val="0"/>
                <w:szCs w:val="21"/>
                <w:highlight w:val="none"/>
                <w:lang w:bidi="ar"/>
              </w:rPr>
            </w:pPr>
            <w:r>
              <w:rPr>
                <w:rFonts w:hint="eastAsia" w:ascii="宋体" w:hAnsi="宋体" w:cs="宋体"/>
                <w:color w:val="auto"/>
                <w:kern w:val="0"/>
                <w:szCs w:val="21"/>
                <w:highlight w:val="none"/>
                <w:lang w:bidi="ar"/>
              </w:rPr>
              <w:t>2.最多支持≥32组并行数据，≥64组串行数据，可扩展为≥128组串行数据</w:t>
            </w:r>
          </w:p>
          <w:p>
            <w:pPr>
              <w:keepNext w:val="0"/>
              <w:keepLines w:val="0"/>
              <w:widowControl/>
              <w:suppressLineNumbers w:val="0"/>
              <w:tabs>
                <w:tab w:val="left" w:pos="312"/>
              </w:tabs>
              <w:spacing w:before="0" w:beforeAutospacing="0" w:after="0" w:afterAutospacing="0"/>
              <w:ind w:left="0" w:right="0"/>
              <w:jc w:val="left"/>
              <w:textAlignment w:val="top"/>
              <w:rPr>
                <w:rFonts w:hint="default" w:ascii="宋体" w:hAnsi="宋体" w:cs="宋体"/>
                <w:color w:val="auto"/>
                <w:kern w:val="0"/>
                <w:szCs w:val="21"/>
                <w:highlight w:val="none"/>
                <w:lang w:bidi="ar"/>
              </w:rPr>
            </w:pPr>
            <w:r>
              <w:rPr>
                <w:rFonts w:hint="eastAsia" w:ascii="宋体" w:hAnsi="宋体" w:cs="宋体"/>
                <w:color w:val="auto"/>
                <w:kern w:val="0"/>
                <w:szCs w:val="21"/>
                <w:highlight w:val="none"/>
                <w:lang w:bidi="ar"/>
              </w:rPr>
              <w:t>3.采用高密度接插件-防松动、防灰尘</w:t>
            </w:r>
          </w:p>
          <w:p>
            <w:pPr>
              <w:keepNext w:val="0"/>
              <w:keepLines w:val="0"/>
              <w:widowControl/>
              <w:suppressLineNumbers w:val="0"/>
              <w:tabs>
                <w:tab w:val="left" w:pos="312"/>
              </w:tabs>
              <w:spacing w:before="0" w:beforeAutospacing="0" w:after="0" w:afterAutospacing="0"/>
              <w:ind w:left="0" w:right="0"/>
              <w:jc w:val="left"/>
              <w:textAlignment w:val="top"/>
              <w:rPr>
                <w:rFonts w:hint="default" w:ascii="宋体" w:hAnsi="宋体" w:cs="宋体"/>
                <w:color w:val="auto"/>
                <w:kern w:val="0"/>
                <w:szCs w:val="21"/>
                <w:highlight w:val="none"/>
                <w:lang w:bidi="ar"/>
              </w:rPr>
            </w:pPr>
            <w:r>
              <w:rPr>
                <w:rFonts w:hint="eastAsia" w:ascii="宋体" w:hAnsi="宋体" w:cs="宋体"/>
                <w:color w:val="auto"/>
                <w:kern w:val="0"/>
                <w:szCs w:val="21"/>
                <w:highlight w:val="none"/>
                <w:lang w:bidi="ar"/>
              </w:rPr>
              <w:t>4.支持HDR、HDR10optima和HLG；</w:t>
            </w:r>
          </w:p>
          <w:p>
            <w:pPr>
              <w:keepNext w:val="0"/>
              <w:keepLines w:val="0"/>
              <w:widowControl/>
              <w:suppressLineNumbers w:val="0"/>
              <w:tabs>
                <w:tab w:val="left" w:pos="312"/>
              </w:tabs>
              <w:spacing w:before="0" w:beforeAutospacing="0" w:after="0" w:afterAutospacing="0"/>
              <w:ind w:left="0" w:right="0"/>
              <w:jc w:val="left"/>
              <w:textAlignment w:val="top"/>
              <w:rPr>
                <w:rFonts w:hint="default" w:ascii="宋体" w:hAnsi="宋体" w:cs="宋体"/>
                <w:color w:val="auto"/>
                <w:kern w:val="0"/>
                <w:szCs w:val="21"/>
                <w:highlight w:val="none"/>
                <w:lang w:bidi="ar"/>
              </w:rPr>
            </w:pPr>
            <w:r>
              <w:rPr>
                <w:rFonts w:hint="eastAsia" w:ascii="宋体" w:hAnsi="宋体" w:cs="宋体"/>
                <w:color w:val="auto"/>
                <w:kern w:val="0"/>
                <w:szCs w:val="21"/>
                <w:highlight w:val="none"/>
                <w:lang w:bidi="ar"/>
              </w:rPr>
              <w:t>5.支持18bit+显示技术</w:t>
            </w:r>
          </w:p>
          <w:p>
            <w:pPr>
              <w:keepNext w:val="0"/>
              <w:keepLines w:val="0"/>
              <w:widowControl/>
              <w:suppressLineNumbers w:val="0"/>
              <w:tabs>
                <w:tab w:val="left" w:pos="312"/>
              </w:tabs>
              <w:spacing w:before="0" w:beforeAutospacing="0" w:after="0" w:afterAutospacing="0"/>
              <w:ind w:left="0" w:right="0"/>
              <w:jc w:val="left"/>
              <w:textAlignment w:val="top"/>
              <w:rPr>
                <w:rFonts w:hint="default" w:ascii="宋体" w:hAnsi="宋体" w:cs="宋体"/>
                <w:color w:val="auto"/>
                <w:kern w:val="0"/>
                <w:szCs w:val="21"/>
                <w:highlight w:val="none"/>
                <w:lang w:bidi="ar"/>
              </w:rPr>
            </w:pPr>
            <w:r>
              <w:rPr>
                <w:rFonts w:hint="eastAsia" w:ascii="宋体" w:hAnsi="宋体" w:cs="宋体"/>
                <w:color w:val="auto"/>
                <w:kern w:val="0"/>
                <w:szCs w:val="21"/>
                <w:highlight w:val="none"/>
                <w:lang w:bidi="ar"/>
              </w:rPr>
              <w:t>6.支持LVDS传输及支持画面90度倍数旋转</w:t>
            </w:r>
          </w:p>
          <w:p>
            <w:pPr>
              <w:keepNext w:val="0"/>
              <w:keepLines w:val="0"/>
              <w:widowControl/>
              <w:suppressLineNumbers w:val="0"/>
              <w:tabs>
                <w:tab w:val="left" w:pos="312"/>
              </w:tabs>
              <w:spacing w:before="0" w:beforeAutospacing="0" w:after="0" w:afterAutospacing="0"/>
              <w:ind w:left="0" w:right="0"/>
              <w:jc w:val="left"/>
              <w:textAlignment w:val="top"/>
              <w:rPr>
                <w:rFonts w:hint="default" w:ascii="宋体" w:hAnsi="宋体" w:cs="宋体"/>
                <w:color w:val="auto"/>
                <w:kern w:val="0"/>
                <w:szCs w:val="21"/>
                <w:highlight w:val="none"/>
                <w:lang w:bidi="ar"/>
              </w:rPr>
            </w:pPr>
            <w:r>
              <w:rPr>
                <w:rFonts w:hint="eastAsia" w:ascii="宋体" w:hAnsi="宋体" w:cs="宋体"/>
                <w:color w:val="auto"/>
                <w:kern w:val="0"/>
                <w:szCs w:val="21"/>
                <w:highlight w:val="none"/>
                <w:lang w:bidi="ar"/>
              </w:rPr>
              <w:t>7.支持智能模组，无需监控卡，可以实现温度、电压、排线、灯点检测、制造日期、制造商信息检测</w:t>
            </w:r>
          </w:p>
          <w:p>
            <w:pPr>
              <w:keepNext w:val="0"/>
              <w:keepLines w:val="0"/>
              <w:widowControl/>
              <w:suppressLineNumbers w:val="0"/>
              <w:tabs>
                <w:tab w:val="left" w:pos="312"/>
              </w:tabs>
              <w:spacing w:before="0" w:beforeAutospacing="0" w:after="0" w:afterAutospacing="0"/>
              <w:ind w:left="0" w:right="0"/>
              <w:jc w:val="left"/>
              <w:textAlignment w:val="top"/>
              <w:rPr>
                <w:rFonts w:hint="default" w:ascii="宋体" w:hAnsi="宋体" w:cs="宋体"/>
                <w:color w:val="auto"/>
                <w:szCs w:val="21"/>
                <w:highlight w:val="none"/>
              </w:rPr>
            </w:pPr>
            <w:r>
              <w:rPr>
                <w:rFonts w:hint="eastAsia" w:ascii="宋体" w:hAnsi="宋体" w:cs="宋体"/>
                <w:color w:val="auto"/>
                <w:kern w:val="0"/>
                <w:szCs w:val="21"/>
                <w:highlight w:val="none"/>
                <w:lang w:bidi="ar"/>
              </w:rPr>
              <w:t>8.支持Mapping功能及双程序备份功能</w:t>
            </w:r>
          </w:p>
        </w:tc>
        <w:tc>
          <w:tcPr>
            <w:tcW w:w="99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default" w:ascii="宋体" w:hAnsi="宋体" w:cs="宋体"/>
                <w:color w:val="auto"/>
                <w:szCs w:val="21"/>
                <w:highlight w:val="none"/>
              </w:rPr>
            </w:pPr>
            <w:r>
              <w:rPr>
                <w:rFonts w:hint="eastAsia" w:ascii="宋体" w:hAnsi="宋体" w:cs="宋体"/>
                <w:color w:val="auto"/>
                <w:kern w:val="0"/>
                <w:szCs w:val="21"/>
                <w:highlight w:val="none"/>
                <w:lang w:bidi="ar"/>
              </w:rPr>
              <w:t>8</w:t>
            </w:r>
          </w:p>
        </w:tc>
        <w:tc>
          <w:tcPr>
            <w:tcW w:w="99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default" w:ascii="宋体" w:hAnsi="宋体" w:cs="宋体"/>
                <w:color w:val="auto"/>
                <w:szCs w:val="21"/>
                <w:highlight w:val="none"/>
              </w:rPr>
            </w:pPr>
            <w:r>
              <w:rPr>
                <w:rFonts w:hint="eastAsia" w:ascii="宋体" w:hAnsi="宋体" w:cs="宋体"/>
                <w:color w:val="auto"/>
                <w:kern w:val="0"/>
                <w:szCs w:val="21"/>
                <w:highlight w:val="none"/>
                <w:lang w:bidi="ar"/>
              </w:rPr>
              <w:t>张</w:t>
            </w:r>
          </w:p>
        </w:tc>
      </w:tr>
      <w:tr>
        <w:tblPrEx>
          <w:tblCellMar>
            <w:top w:w="0" w:type="dxa"/>
            <w:left w:w="108" w:type="dxa"/>
            <w:bottom w:w="0" w:type="dxa"/>
            <w:right w:w="108" w:type="dxa"/>
          </w:tblCellMar>
        </w:tblPrEx>
        <w:trPr>
          <w:trHeight w:val="47" w:hRule="atLeast"/>
        </w:trPr>
        <w:tc>
          <w:tcPr>
            <w:tcW w:w="8980" w:type="dxa"/>
            <w:gridSpan w:val="5"/>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textAlignment w:val="center"/>
              <w:rPr>
                <w:rFonts w:hint="default" w:ascii="宋体" w:hAnsi="宋体" w:cs="宋体"/>
                <w:color w:val="auto"/>
                <w:kern w:val="0"/>
                <w:szCs w:val="21"/>
                <w:highlight w:val="none"/>
                <w:lang w:bidi="ar"/>
              </w:rPr>
            </w:pPr>
            <w:r>
              <w:rPr>
                <w:rFonts w:hint="eastAsia" w:ascii="宋体" w:hAnsi="宋体" w:cs="宋体"/>
                <w:color w:val="auto"/>
                <w:kern w:val="0"/>
                <w:szCs w:val="21"/>
                <w:highlight w:val="none"/>
                <w:lang w:bidi="ar"/>
              </w:rPr>
              <w:t>三、屏幕3</w:t>
            </w:r>
          </w:p>
        </w:tc>
      </w:tr>
      <w:tr>
        <w:tblPrEx>
          <w:tblCellMar>
            <w:top w:w="0" w:type="dxa"/>
            <w:left w:w="108" w:type="dxa"/>
            <w:bottom w:w="0" w:type="dxa"/>
            <w:right w:w="108" w:type="dxa"/>
          </w:tblCellMar>
        </w:tblPrEx>
        <w:trPr>
          <w:trHeight w:val="90" w:hRule="atLeast"/>
        </w:trPr>
        <w:tc>
          <w:tcPr>
            <w:tcW w:w="53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default" w:ascii="宋体" w:hAnsi="宋体" w:cs="宋体"/>
                <w:color w:val="auto"/>
                <w:szCs w:val="21"/>
                <w:highlight w:val="none"/>
              </w:rPr>
            </w:pPr>
            <w:r>
              <w:rPr>
                <w:rFonts w:hint="eastAsia" w:ascii="宋体" w:hAnsi="宋体" w:cs="宋体"/>
                <w:color w:val="auto"/>
                <w:kern w:val="0"/>
                <w:szCs w:val="21"/>
                <w:highlight w:val="none"/>
                <w:lang w:bidi="ar"/>
              </w:rPr>
              <w:t>5</w:t>
            </w:r>
          </w:p>
        </w:tc>
        <w:tc>
          <w:tcPr>
            <w:tcW w:w="158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default" w:ascii="宋体" w:hAnsi="宋体" w:cs="宋体"/>
                <w:color w:val="auto"/>
                <w:szCs w:val="21"/>
                <w:highlight w:val="none"/>
              </w:rPr>
            </w:pPr>
            <w:r>
              <w:rPr>
                <w:rFonts w:hint="eastAsia" w:ascii="宋体" w:hAnsi="宋体" w:cs="宋体"/>
                <w:color w:val="auto"/>
                <w:szCs w:val="21"/>
                <w:highlight w:val="none"/>
              </w:rPr>
              <w:t>◆</w:t>
            </w:r>
            <w:r>
              <w:rPr>
                <w:rFonts w:hint="eastAsia" w:ascii="宋体" w:hAnsi="宋体" w:cs="宋体"/>
                <w:color w:val="auto"/>
                <w:kern w:val="0"/>
                <w:szCs w:val="21"/>
                <w:highlight w:val="none"/>
                <w:lang w:bidi="ar"/>
              </w:rPr>
              <w:t>小间距LED显示屏</w:t>
            </w:r>
            <w:r>
              <w:rPr>
                <w:rFonts w:hint="eastAsia" w:ascii="宋体" w:hAnsi="宋体" w:cs="宋体"/>
                <w:b/>
                <w:bCs/>
                <w:color w:val="auto"/>
                <w:szCs w:val="21"/>
                <w:highlight w:val="none"/>
              </w:rPr>
              <w:t>（核心产品）</w:t>
            </w:r>
          </w:p>
        </w:tc>
        <w:tc>
          <w:tcPr>
            <w:tcW w:w="4879" w:type="dxa"/>
            <w:tcBorders>
              <w:top w:val="single" w:color="000000" w:sz="4" w:space="0"/>
              <w:left w:val="single" w:color="000000" w:sz="4" w:space="0"/>
              <w:bottom w:val="single" w:color="000000" w:sz="4" w:space="0"/>
              <w:right w:val="single" w:color="000000" w:sz="4" w:space="0"/>
            </w:tcBorders>
          </w:tcPr>
          <w:p>
            <w:pPr>
              <w:keepNext w:val="0"/>
              <w:keepLines w:val="0"/>
              <w:widowControl/>
              <w:suppressLineNumbers w:val="0"/>
              <w:tabs>
                <w:tab w:val="left" w:pos="312"/>
              </w:tabs>
              <w:spacing w:before="0" w:beforeAutospacing="0" w:after="0" w:afterAutospacing="0"/>
              <w:ind w:left="0" w:right="0"/>
              <w:jc w:val="left"/>
              <w:textAlignment w:val="top"/>
              <w:rPr>
                <w:rFonts w:hint="default" w:ascii="宋体" w:hAnsi="宋体" w:cs="宋体"/>
                <w:color w:val="auto"/>
                <w:kern w:val="0"/>
                <w:szCs w:val="21"/>
                <w:highlight w:val="none"/>
                <w:lang w:bidi="ar"/>
              </w:rPr>
            </w:pPr>
            <w:r>
              <w:rPr>
                <w:rFonts w:hint="eastAsia" w:ascii="宋体" w:hAnsi="宋体" w:cs="宋体"/>
                <w:color w:val="auto"/>
                <w:kern w:val="0"/>
                <w:szCs w:val="21"/>
                <w:highlight w:val="none"/>
                <w:lang w:bidi="ar"/>
              </w:rPr>
              <w:t>1.屏幕显示面积:宽0.32m*高0.32m*16=1.64㎡，宽1.92m*高0.32m=0.6㎡,整屏显示分辨率：≥宽1024点*高1024点</w:t>
            </w:r>
          </w:p>
          <w:p>
            <w:pPr>
              <w:keepNext w:val="0"/>
              <w:keepLines w:val="0"/>
              <w:widowControl/>
              <w:suppressLineNumbers w:val="0"/>
              <w:tabs>
                <w:tab w:val="left" w:pos="312"/>
              </w:tabs>
              <w:spacing w:before="0" w:beforeAutospacing="0" w:after="0" w:afterAutospacing="0"/>
              <w:ind w:left="0" w:right="0"/>
              <w:jc w:val="left"/>
              <w:textAlignment w:val="top"/>
              <w:rPr>
                <w:rFonts w:hint="default" w:ascii="宋体" w:hAnsi="宋体" w:cs="宋体"/>
                <w:color w:val="auto"/>
                <w:kern w:val="0"/>
                <w:szCs w:val="21"/>
                <w:highlight w:val="none"/>
                <w:lang w:bidi="ar"/>
              </w:rPr>
            </w:pPr>
            <w:r>
              <w:rPr>
                <w:rFonts w:hint="eastAsia" w:ascii="宋体" w:hAnsi="宋体" w:cs="宋体"/>
                <w:color w:val="auto"/>
                <w:kern w:val="0"/>
                <w:szCs w:val="21"/>
                <w:highlight w:val="none"/>
                <w:lang w:bidi="ar"/>
              </w:rPr>
              <w:t>2.像素间距≤1.25mm</w:t>
            </w:r>
          </w:p>
          <w:p>
            <w:pPr>
              <w:keepNext w:val="0"/>
              <w:keepLines w:val="0"/>
              <w:widowControl/>
              <w:suppressLineNumbers w:val="0"/>
              <w:tabs>
                <w:tab w:val="left" w:pos="312"/>
              </w:tabs>
              <w:spacing w:before="0" w:beforeAutospacing="0" w:after="0" w:afterAutospacing="0"/>
              <w:ind w:left="0" w:right="0"/>
              <w:jc w:val="left"/>
              <w:textAlignment w:val="top"/>
              <w:rPr>
                <w:rFonts w:hint="default" w:ascii="宋体" w:hAnsi="宋体" w:cs="宋体"/>
                <w:color w:val="auto"/>
                <w:kern w:val="0"/>
                <w:szCs w:val="21"/>
                <w:highlight w:val="none"/>
                <w:lang w:bidi="ar"/>
              </w:rPr>
            </w:pPr>
            <w:r>
              <w:rPr>
                <w:rFonts w:hint="eastAsia" w:ascii="宋体" w:hAnsi="宋体" w:cs="宋体"/>
                <w:color w:val="auto"/>
                <w:kern w:val="0"/>
                <w:szCs w:val="21"/>
                <w:highlight w:val="none"/>
                <w:lang w:bidi="ar"/>
              </w:rPr>
              <w:t>3.铝底壳工艺，模组iCool立体散热</w:t>
            </w:r>
          </w:p>
          <w:p>
            <w:pPr>
              <w:keepNext w:val="0"/>
              <w:keepLines w:val="0"/>
              <w:widowControl/>
              <w:suppressLineNumbers w:val="0"/>
              <w:tabs>
                <w:tab w:val="left" w:pos="312"/>
              </w:tabs>
              <w:spacing w:before="0" w:beforeAutospacing="0" w:after="0" w:afterAutospacing="0"/>
              <w:ind w:left="0" w:right="0"/>
              <w:jc w:val="left"/>
              <w:textAlignment w:val="top"/>
              <w:rPr>
                <w:rFonts w:hint="default" w:ascii="宋体" w:hAnsi="宋体" w:cs="宋体"/>
                <w:color w:val="auto"/>
                <w:kern w:val="0"/>
                <w:szCs w:val="21"/>
                <w:highlight w:val="none"/>
                <w:lang w:bidi="ar"/>
              </w:rPr>
            </w:pPr>
            <w:r>
              <w:rPr>
                <w:rFonts w:hint="eastAsia" w:ascii="宋体" w:hAnsi="宋体" w:cs="宋体"/>
                <w:color w:val="auto"/>
                <w:kern w:val="0"/>
                <w:szCs w:val="21"/>
                <w:highlight w:val="none"/>
                <w:lang w:bidi="ar"/>
              </w:rPr>
              <w:t>4.模组平整度：≤0.15mm</w:t>
            </w:r>
          </w:p>
          <w:p>
            <w:pPr>
              <w:keepNext w:val="0"/>
              <w:keepLines w:val="0"/>
              <w:widowControl/>
              <w:suppressLineNumbers w:val="0"/>
              <w:tabs>
                <w:tab w:val="left" w:pos="312"/>
              </w:tabs>
              <w:spacing w:before="0" w:beforeAutospacing="0" w:after="0" w:afterAutospacing="0"/>
              <w:ind w:left="0" w:right="0"/>
              <w:jc w:val="left"/>
              <w:textAlignment w:val="top"/>
              <w:rPr>
                <w:rFonts w:hint="default" w:ascii="宋体" w:hAnsi="宋体" w:cs="宋体"/>
                <w:color w:val="auto"/>
                <w:kern w:val="0"/>
                <w:szCs w:val="21"/>
                <w:highlight w:val="none"/>
                <w:lang w:bidi="ar"/>
              </w:rPr>
            </w:pPr>
            <w:r>
              <w:rPr>
                <w:rFonts w:hint="eastAsia" w:ascii="宋体" w:hAnsi="宋体" w:cs="宋体"/>
                <w:color w:val="auto"/>
                <w:kern w:val="0"/>
                <w:szCs w:val="21"/>
                <w:highlight w:val="none"/>
                <w:lang w:bidi="ar"/>
              </w:rPr>
              <w:t>4.白平衡亮度≥450cd/㎡,亮度0-100%可调</w:t>
            </w:r>
          </w:p>
          <w:p>
            <w:pPr>
              <w:keepNext w:val="0"/>
              <w:keepLines w:val="0"/>
              <w:widowControl/>
              <w:suppressLineNumbers w:val="0"/>
              <w:tabs>
                <w:tab w:val="left" w:pos="312"/>
              </w:tabs>
              <w:spacing w:before="0" w:beforeAutospacing="0" w:after="0" w:afterAutospacing="0"/>
              <w:ind w:left="0" w:right="0"/>
              <w:jc w:val="left"/>
              <w:textAlignment w:val="top"/>
              <w:rPr>
                <w:rFonts w:hint="default" w:ascii="宋体" w:hAnsi="宋体" w:cs="宋体"/>
                <w:color w:val="auto"/>
                <w:kern w:val="0"/>
                <w:szCs w:val="21"/>
                <w:highlight w:val="none"/>
                <w:lang w:bidi="ar"/>
              </w:rPr>
            </w:pPr>
            <w:r>
              <w:rPr>
                <w:rFonts w:hint="eastAsia" w:ascii="宋体" w:hAnsi="宋体" w:cs="宋体"/>
                <w:color w:val="auto"/>
                <w:kern w:val="0"/>
                <w:szCs w:val="21"/>
                <w:highlight w:val="none"/>
                <w:lang w:bidi="ar"/>
              </w:rPr>
              <w:t>5.色温可调范围：3000k~15000k，并可自定义色温值</w:t>
            </w:r>
          </w:p>
          <w:p>
            <w:pPr>
              <w:keepNext w:val="0"/>
              <w:keepLines w:val="0"/>
              <w:widowControl/>
              <w:suppressLineNumbers w:val="0"/>
              <w:tabs>
                <w:tab w:val="left" w:pos="312"/>
              </w:tabs>
              <w:spacing w:before="0" w:beforeAutospacing="0" w:after="0" w:afterAutospacing="0"/>
              <w:ind w:left="0" w:right="0"/>
              <w:jc w:val="left"/>
              <w:textAlignment w:val="top"/>
              <w:rPr>
                <w:rFonts w:hint="default" w:ascii="宋体" w:hAnsi="宋体" w:cs="宋体"/>
                <w:color w:val="auto"/>
                <w:kern w:val="0"/>
                <w:szCs w:val="21"/>
                <w:highlight w:val="none"/>
                <w:lang w:bidi="ar"/>
              </w:rPr>
            </w:pPr>
            <w:r>
              <w:rPr>
                <w:rFonts w:hint="eastAsia" w:ascii="宋体" w:hAnsi="宋体" w:cs="宋体"/>
                <w:color w:val="auto"/>
                <w:kern w:val="0"/>
                <w:szCs w:val="21"/>
                <w:highlight w:val="none"/>
                <w:lang w:bidi="ar"/>
              </w:rPr>
              <w:t>6.对比度5500:1</w:t>
            </w:r>
          </w:p>
          <w:p>
            <w:pPr>
              <w:keepNext w:val="0"/>
              <w:keepLines w:val="0"/>
              <w:widowControl/>
              <w:suppressLineNumbers w:val="0"/>
              <w:tabs>
                <w:tab w:val="left" w:pos="312"/>
              </w:tabs>
              <w:spacing w:before="0" w:beforeAutospacing="0" w:after="0" w:afterAutospacing="0"/>
              <w:ind w:left="0" w:right="0"/>
              <w:jc w:val="left"/>
              <w:textAlignment w:val="top"/>
              <w:rPr>
                <w:rFonts w:hint="default" w:ascii="宋体" w:hAnsi="宋体" w:cs="宋体"/>
                <w:color w:val="auto"/>
                <w:kern w:val="0"/>
                <w:szCs w:val="21"/>
                <w:highlight w:val="none"/>
                <w:lang w:bidi="ar"/>
              </w:rPr>
            </w:pPr>
            <w:r>
              <w:rPr>
                <w:rFonts w:hint="eastAsia" w:ascii="宋体" w:hAnsi="宋体" w:cs="宋体"/>
                <w:color w:val="auto"/>
                <w:kern w:val="0"/>
                <w:szCs w:val="21"/>
                <w:highlight w:val="none"/>
                <w:lang w:bidi="ar"/>
              </w:rPr>
              <w:t>7.视角：水平视角≥170°，垂直视角≥150</w:t>
            </w:r>
          </w:p>
          <w:p>
            <w:pPr>
              <w:keepNext w:val="0"/>
              <w:keepLines w:val="0"/>
              <w:widowControl/>
              <w:suppressLineNumbers w:val="0"/>
              <w:tabs>
                <w:tab w:val="left" w:pos="312"/>
              </w:tabs>
              <w:spacing w:before="0" w:beforeAutospacing="0" w:after="0" w:afterAutospacing="0"/>
              <w:ind w:left="0" w:right="0"/>
              <w:jc w:val="left"/>
              <w:textAlignment w:val="top"/>
              <w:rPr>
                <w:rFonts w:hint="default" w:ascii="宋体" w:hAnsi="宋体" w:cs="宋体"/>
                <w:color w:val="auto"/>
                <w:kern w:val="0"/>
                <w:szCs w:val="21"/>
                <w:highlight w:val="none"/>
                <w:lang w:bidi="ar"/>
              </w:rPr>
            </w:pPr>
            <w:r>
              <w:rPr>
                <w:rFonts w:hint="eastAsia" w:ascii="宋体" w:hAnsi="宋体" w:cs="宋体"/>
                <w:color w:val="auto"/>
                <w:kern w:val="0"/>
                <w:szCs w:val="21"/>
                <w:highlight w:val="none"/>
                <w:lang w:bidi="ar"/>
              </w:rPr>
              <w:t>8.刷新频率≥3840HZ</w:t>
            </w:r>
          </w:p>
          <w:p>
            <w:pPr>
              <w:keepNext w:val="0"/>
              <w:keepLines w:val="0"/>
              <w:widowControl/>
              <w:suppressLineNumbers w:val="0"/>
              <w:tabs>
                <w:tab w:val="left" w:pos="312"/>
              </w:tabs>
              <w:spacing w:before="0" w:beforeAutospacing="0" w:after="0" w:afterAutospacing="0"/>
              <w:ind w:left="0" w:right="0"/>
              <w:jc w:val="left"/>
              <w:textAlignment w:val="top"/>
              <w:rPr>
                <w:rFonts w:hint="default" w:ascii="宋体" w:hAnsi="宋体" w:cs="宋体"/>
                <w:color w:val="auto"/>
                <w:kern w:val="0"/>
                <w:szCs w:val="21"/>
                <w:highlight w:val="none"/>
                <w:lang w:bidi="ar"/>
              </w:rPr>
            </w:pPr>
            <w:r>
              <w:rPr>
                <w:rFonts w:hint="eastAsia" w:ascii="宋体" w:hAnsi="宋体" w:cs="宋体"/>
                <w:color w:val="auto"/>
                <w:kern w:val="0"/>
                <w:szCs w:val="21"/>
                <w:highlight w:val="none"/>
                <w:lang w:bidi="ar"/>
              </w:rPr>
              <w:t>9.峰值功耗≤400W/㎡、平均功耗≤130W/㎡</w:t>
            </w:r>
          </w:p>
          <w:p>
            <w:pPr>
              <w:keepNext w:val="0"/>
              <w:keepLines w:val="0"/>
              <w:widowControl/>
              <w:suppressLineNumbers w:val="0"/>
              <w:tabs>
                <w:tab w:val="left" w:pos="312"/>
              </w:tabs>
              <w:spacing w:before="0" w:beforeAutospacing="0" w:after="0" w:afterAutospacing="0"/>
              <w:ind w:left="0" w:right="0"/>
              <w:jc w:val="left"/>
              <w:textAlignment w:val="top"/>
              <w:rPr>
                <w:rFonts w:hint="default" w:ascii="宋体" w:hAnsi="宋体" w:cs="宋体"/>
                <w:color w:val="auto"/>
                <w:kern w:val="0"/>
                <w:szCs w:val="21"/>
                <w:highlight w:val="none"/>
                <w:lang w:bidi="ar"/>
              </w:rPr>
            </w:pPr>
            <w:r>
              <w:rPr>
                <w:rFonts w:hint="eastAsia" w:ascii="宋体" w:hAnsi="宋体" w:cs="宋体"/>
                <w:color w:val="auto"/>
                <w:kern w:val="0"/>
                <w:szCs w:val="21"/>
                <w:highlight w:val="none"/>
                <w:lang w:bidi="ar"/>
              </w:rPr>
              <w:t>10.寿命典型值≥100000小时、平均无故障时间≥100000小时</w:t>
            </w:r>
          </w:p>
          <w:p>
            <w:pPr>
              <w:keepNext w:val="0"/>
              <w:keepLines w:val="0"/>
              <w:widowControl/>
              <w:suppressLineNumbers w:val="0"/>
              <w:tabs>
                <w:tab w:val="left" w:pos="312"/>
              </w:tabs>
              <w:spacing w:before="0" w:beforeAutospacing="0" w:after="0" w:afterAutospacing="0"/>
              <w:ind w:left="0" w:right="0"/>
              <w:jc w:val="left"/>
              <w:textAlignment w:val="top"/>
              <w:rPr>
                <w:rFonts w:hint="default" w:ascii="宋体" w:hAnsi="宋体" w:cs="宋体"/>
                <w:color w:val="auto"/>
                <w:szCs w:val="21"/>
                <w:highlight w:val="none"/>
                <w:u w:val="single"/>
              </w:rPr>
            </w:pPr>
            <w:r>
              <w:rPr>
                <w:rFonts w:hint="eastAsia" w:ascii="宋体" w:hAnsi="宋体" w:cs="宋体"/>
                <w:color w:val="auto"/>
                <w:kern w:val="0"/>
                <w:szCs w:val="21"/>
                <w:highlight w:val="none"/>
                <w:lang w:bidi="ar"/>
              </w:rPr>
              <w:t>11.电源冗余备份，具智能节电功能，软件自动报警功能</w:t>
            </w:r>
          </w:p>
        </w:tc>
        <w:tc>
          <w:tcPr>
            <w:tcW w:w="99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default" w:ascii="宋体" w:hAnsi="宋体" w:cs="宋体"/>
                <w:color w:val="auto"/>
                <w:szCs w:val="21"/>
                <w:highlight w:val="none"/>
              </w:rPr>
            </w:pPr>
            <w:r>
              <w:rPr>
                <w:rFonts w:hint="eastAsia" w:ascii="宋体" w:hAnsi="宋体" w:cs="宋体"/>
                <w:color w:val="auto"/>
                <w:kern w:val="0"/>
                <w:szCs w:val="21"/>
                <w:highlight w:val="none"/>
                <w:lang w:bidi="ar"/>
              </w:rPr>
              <w:t>2.24</w:t>
            </w:r>
          </w:p>
        </w:tc>
        <w:tc>
          <w:tcPr>
            <w:tcW w:w="99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default" w:ascii="宋体" w:hAnsi="宋体" w:cs="宋体"/>
                <w:color w:val="auto"/>
                <w:szCs w:val="21"/>
                <w:highlight w:val="none"/>
              </w:rPr>
            </w:pPr>
            <w:r>
              <w:rPr>
                <w:rFonts w:hint="eastAsia" w:ascii="宋体" w:hAnsi="宋体" w:cs="宋体"/>
                <w:color w:val="auto"/>
                <w:kern w:val="0"/>
                <w:szCs w:val="21"/>
                <w:highlight w:val="none"/>
                <w:lang w:bidi="ar"/>
              </w:rPr>
              <w:t>㎡</w:t>
            </w:r>
          </w:p>
        </w:tc>
      </w:tr>
      <w:tr>
        <w:tblPrEx>
          <w:tblCellMar>
            <w:top w:w="0" w:type="dxa"/>
            <w:left w:w="108" w:type="dxa"/>
            <w:bottom w:w="0" w:type="dxa"/>
            <w:right w:w="108" w:type="dxa"/>
          </w:tblCellMar>
        </w:tblPrEx>
        <w:trPr>
          <w:trHeight w:val="90" w:hRule="atLeast"/>
        </w:trPr>
        <w:tc>
          <w:tcPr>
            <w:tcW w:w="53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default" w:ascii="宋体" w:hAnsi="宋体" w:cs="宋体"/>
                <w:color w:val="auto"/>
                <w:szCs w:val="21"/>
                <w:highlight w:val="none"/>
              </w:rPr>
            </w:pPr>
            <w:r>
              <w:rPr>
                <w:rFonts w:hint="eastAsia" w:ascii="宋体" w:hAnsi="宋体" w:cs="宋体"/>
                <w:color w:val="auto"/>
                <w:kern w:val="0"/>
                <w:szCs w:val="21"/>
                <w:highlight w:val="none"/>
                <w:lang w:bidi="ar"/>
              </w:rPr>
              <w:t>6</w:t>
            </w:r>
          </w:p>
        </w:tc>
        <w:tc>
          <w:tcPr>
            <w:tcW w:w="158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default" w:ascii="宋体" w:hAnsi="宋体" w:cs="宋体"/>
                <w:color w:val="auto"/>
                <w:szCs w:val="21"/>
                <w:highlight w:val="none"/>
              </w:rPr>
            </w:pPr>
            <w:r>
              <w:rPr>
                <w:rFonts w:hint="eastAsia" w:ascii="宋体" w:hAnsi="宋体" w:cs="宋体"/>
                <w:color w:val="auto"/>
                <w:szCs w:val="21"/>
                <w:highlight w:val="none"/>
              </w:rPr>
              <w:t>接收卡</w:t>
            </w:r>
          </w:p>
        </w:tc>
        <w:tc>
          <w:tcPr>
            <w:tcW w:w="4879" w:type="dxa"/>
            <w:tcBorders>
              <w:top w:val="single" w:color="000000" w:sz="4" w:space="0"/>
              <w:left w:val="single" w:color="000000" w:sz="4" w:space="0"/>
              <w:bottom w:val="single" w:color="000000" w:sz="4" w:space="0"/>
              <w:right w:val="single" w:color="000000" w:sz="4" w:space="0"/>
            </w:tcBorders>
          </w:tcPr>
          <w:p>
            <w:pPr>
              <w:keepNext w:val="0"/>
              <w:keepLines w:val="0"/>
              <w:widowControl/>
              <w:suppressLineNumbers w:val="0"/>
              <w:tabs>
                <w:tab w:val="left" w:pos="312"/>
              </w:tabs>
              <w:spacing w:before="0" w:beforeAutospacing="0" w:after="0" w:afterAutospacing="0"/>
              <w:ind w:left="0" w:right="0"/>
              <w:jc w:val="left"/>
              <w:textAlignment w:val="top"/>
              <w:rPr>
                <w:rFonts w:hint="default" w:ascii="宋体" w:hAnsi="宋体" w:cs="宋体"/>
                <w:color w:val="auto"/>
                <w:kern w:val="0"/>
                <w:szCs w:val="21"/>
                <w:highlight w:val="none"/>
                <w:lang w:bidi="ar"/>
              </w:rPr>
            </w:pPr>
            <w:r>
              <w:rPr>
                <w:rFonts w:hint="eastAsia" w:ascii="宋体" w:hAnsi="宋体" w:cs="宋体"/>
                <w:color w:val="auto"/>
                <w:kern w:val="0"/>
                <w:szCs w:val="21"/>
                <w:highlight w:val="none"/>
                <w:lang w:bidi="ar"/>
              </w:rPr>
              <w:t>1.支持单卡带载≥512*512</w:t>
            </w:r>
          </w:p>
          <w:p>
            <w:pPr>
              <w:keepNext w:val="0"/>
              <w:keepLines w:val="0"/>
              <w:widowControl/>
              <w:suppressLineNumbers w:val="0"/>
              <w:tabs>
                <w:tab w:val="left" w:pos="312"/>
              </w:tabs>
              <w:spacing w:before="0" w:beforeAutospacing="0" w:after="0" w:afterAutospacing="0"/>
              <w:ind w:left="0" w:right="0"/>
              <w:jc w:val="left"/>
              <w:textAlignment w:val="top"/>
              <w:rPr>
                <w:rFonts w:hint="default" w:ascii="宋体" w:hAnsi="宋体" w:cs="宋体"/>
                <w:color w:val="auto"/>
                <w:kern w:val="0"/>
                <w:szCs w:val="21"/>
                <w:highlight w:val="none"/>
                <w:lang w:bidi="ar"/>
              </w:rPr>
            </w:pPr>
            <w:r>
              <w:rPr>
                <w:rFonts w:hint="eastAsia" w:ascii="宋体" w:hAnsi="宋体" w:cs="宋体"/>
                <w:color w:val="auto"/>
                <w:kern w:val="0"/>
                <w:szCs w:val="21"/>
                <w:highlight w:val="none"/>
                <w:lang w:bidi="ar"/>
              </w:rPr>
              <w:t>2.最多支持≥32组并行数据，≥64组串行数据，可扩展为≥128组串行数据</w:t>
            </w:r>
          </w:p>
          <w:p>
            <w:pPr>
              <w:keepNext w:val="0"/>
              <w:keepLines w:val="0"/>
              <w:widowControl/>
              <w:suppressLineNumbers w:val="0"/>
              <w:tabs>
                <w:tab w:val="left" w:pos="312"/>
              </w:tabs>
              <w:spacing w:before="0" w:beforeAutospacing="0" w:after="0" w:afterAutospacing="0"/>
              <w:ind w:left="0" w:right="0"/>
              <w:jc w:val="left"/>
              <w:textAlignment w:val="top"/>
              <w:rPr>
                <w:rFonts w:hint="default" w:ascii="宋体" w:hAnsi="宋体" w:cs="宋体"/>
                <w:color w:val="auto"/>
                <w:kern w:val="0"/>
                <w:szCs w:val="21"/>
                <w:highlight w:val="none"/>
                <w:lang w:bidi="ar"/>
              </w:rPr>
            </w:pPr>
            <w:r>
              <w:rPr>
                <w:rFonts w:hint="eastAsia" w:ascii="宋体" w:hAnsi="宋体" w:cs="宋体"/>
                <w:color w:val="auto"/>
                <w:kern w:val="0"/>
                <w:szCs w:val="21"/>
                <w:highlight w:val="none"/>
                <w:lang w:bidi="ar"/>
              </w:rPr>
              <w:t>3.采用高密度接插件-防松动、防灰尘</w:t>
            </w:r>
          </w:p>
          <w:p>
            <w:pPr>
              <w:keepNext w:val="0"/>
              <w:keepLines w:val="0"/>
              <w:widowControl/>
              <w:suppressLineNumbers w:val="0"/>
              <w:tabs>
                <w:tab w:val="left" w:pos="312"/>
              </w:tabs>
              <w:spacing w:before="0" w:beforeAutospacing="0" w:after="0" w:afterAutospacing="0"/>
              <w:ind w:left="0" w:right="0"/>
              <w:jc w:val="left"/>
              <w:textAlignment w:val="top"/>
              <w:rPr>
                <w:rFonts w:hint="default" w:ascii="宋体" w:hAnsi="宋体" w:cs="宋体"/>
                <w:color w:val="auto"/>
                <w:kern w:val="0"/>
                <w:szCs w:val="21"/>
                <w:highlight w:val="none"/>
                <w:lang w:bidi="ar"/>
              </w:rPr>
            </w:pPr>
            <w:r>
              <w:rPr>
                <w:rFonts w:hint="eastAsia" w:ascii="宋体" w:hAnsi="宋体" w:cs="宋体"/>
                <w:color w:val="auto"/>
                <w:kern w:val="0"/>
                <w:szCs w:val="21"/>
                <w:highlight w:val="none"/>
                <w:lang w:bidi="ar"/>
              </w:rPr>
              <w:t>4.支持HDR、HDR10optima和HLG；</w:t>
            </w:r>
          </w:p>
          <w:p>
            <w:pPr>
              <w:keepNext w:val="0"/>
              <w:keepLines w:val="0"/>
              <w:widowControl/>
              <w:suppressLineNumbers w:val="0"/>
              <w:tabs>
                <w:tab w:val="left" w:pos="312"/>
              </w:tabs>
              <w:spacing w:before="0" w:beforeAutospacing="0" w:after="0" w:afterAutospacing="0"/>
              <w:ind w:left="0" w:right="0"/>
              <w:jc w:val="left"/>
              <w:textAlignment w:val="top"/>
              <w:rPr>
                <w:rFonts w:hint="default" w:ascii="宋体" w:hAnsi="宋体" w:cs="宋体"/>
                <w:color w:val="auto"/>
                <w:kern w:val="0"/>
                <w:szCs w:val="21"/>
                <w:highlight w:val="none"/>
                <w:lang w:bidi="ar"/>
              </w:rPr>
            </w:pPr>
            <w:r>
              <w:rPr>
                <w:rFonts w:hint="eastAsia" w:ascii="宋体" w:hAnsi="宋体" w:cs="宋体"/>
                <w:color w:val="auto"/>
                <w:kern w:val="0"/>
                <w:szCs w:val="21"/>
                <w:highlight w:val="none"/>
                <w:lang w:bidi="ar"/>
              </w:rPr>
              <w:t>5.支持18bit+显示技术</w:t>
            </w:r>
          </w:p>
          <w:p>
            <w:pPr>
              <w:keepNext w:val="0"/>
              <w:keepLines w:val="0"/>
              <w:widowControl/>
              <w:suppressLineNumbers w:val="0"/>
              <w:tabs>
                <w:tab w:val="left" w:pos="312"/>
              </w:tabs>
              <w:spacing w:before="0" w:beforeAutospacing="0" w:after="0" w:afterAutospacing="0"/>
              <w:ind w:left="0" w:right="0"/>
              <w:jc w:val="left"/>
              <w:textAlignment w:val="top"/>
              <w:rPr>
                <w:rFonts w:hint="default" w:ascii="宋体" w:hAnsi="宋体" w:cs="宋体"/>
                <w:color w:val="auto"/>
                <w:kern w:val="0"/>
                <w:szCs w:val="21"/>
                <w:highlight w:val="none"/>
                <w:lang w:bidi="ar"/>
              </w:rPr>
            </w:pPr>
            <w:r>
              <w:rPr>
                <w:rFonts w:hint="eastAsia" w:ascii="宋体" w:hAnsi="宋体" w:cs="宋体"/>
                <w:color w:val="auto"/>
                <w:kern w:val="0"/>
                <w:szCs w:val="21"/>
                <w:highlight w:val="none"/>
                <w:lang w:bidi="ar"/>
              </w:rPr>
              <w:t>6.支持LVDS传输及支持画面90度倍数旋转</w:t>
            </w:r>
          </w:p>
          <w:p>
            <w:pPr>
              <w:keepNext w:val="0"/>
              <w:keepLines w:val="0"/>
              <w:widowControl/>
              <w:suppressLineNumbers w:val="0"/>
              <w:spacing w:before="0" w:beforeAutospacing="0" w:after="0" w:afterAutospacing="0"/>
              <w:ind w:left="0" w:right="0"/>
              <w:jc w:val="left"/>
              <w:textAlignment w:val="top"/>
              <w:rPr>
                <w:rFonts w:hint="default" w:ascii="宋体" w:hAnsi="宋体" w:cs="宋体"/>
                <w:color w:val="auto"/>
                <w:kern w:val="0"/>
                <w:szCs w:val="21"/>
                <w:highlight w:val="none"/>
                <w:lang w:bidi="ar"/>
              </w:rPr>
            </w:pPr>
            <w:r>
              <w:rPr>
                <w:rFonts w:hint="eastAsia" w:ascii="宋体" w:hAnsi="宋体" w:cs="宋体"/>
                <w:color w:val="auto"/>
                <w:kern w:val="0"/>
                <w:szCs w:val="21"/>
                <w:highlight w:val="none"/>
                <w:lang w:bidi="ar"/>
              </w:rPr>
              <w:t>7.支持智能模组，无需监控卡，可以实现温度、电压、排线、灯点检测、制造日期、制造商信息检测</w:t>
            </w:r>
          </w:p>
          <w:p>
            <w:pPr>
              <w:keepNext w:val="0"/>
              <w:keepLines w:val="0"/>
              <w:widowControl/>
              <w:suppressLineNumbers w:val="0"/>
              <w:spacing w:before="0" w:beforeAutospacing="0" w:after="0" w:afterAutospacing="0"/>
              <w:ind w:left="0" w:right="0"/>
              <w:jc w:val="left"/>
              <w:textAlignment w:val="top"/>
              <w:rPr>
                <w:rFonts w:hint="default" w:ascii="宋体" w:hAnsi="宋体" w:cs="宋体"/>
                <w:color w:val="auto"/>
                <w:szCs w:val="21"/>
                <w:highlight w:val="none"/>
              </w:rPr>
            </w:pPr>
            <w:r>
              <w:rPr>
                <w:rFonts w:hint="eastAsia" w:ascii="宋体" w:hAnsi="宋体" w:cs="宋体"/>
                <w:color w:val="auto"/>
                <w:kern w:val="0"/>
                <w:szCs w:val="21"/>
                <w:highlight w:val="none"/>
                <w:lang w:bidi="ar"/>
              </w:rPr>
              <w:t>8.支持Mapping功能及双程序备份功能</w:t>
            </w:r>
          </w:p>
        </w:tc>
        <w:tc>
          <w:tcPr>
            <w:tcW w:w="99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default" w:ascii="宋体" w:hAnsi="宋体" w:cs="宋体"/>
                <w:color w:val="auto"/>
                <w:szCs w:val="21"/>
                <w:highlight w:val="none"/>
              </w:rPr>
            </w:pPr>
            <w:r>
              <w:rPr>
                <w:rFonts w:hint="eastAsia" w:ascii="宋体" w:hAnsi="宋体" w:cs="宋体"/>
                <w:color w:val="auto"/>
                <w:kern w:val="0"/>
                <w:szCs w:val="21"/>
                <w:highlight w:val="none"/>
                <w:lang w:bidi="ar"/>
              </w:rPr>
              <w:t>18</w:t>
            </w:r>
          </w:p>
        </w:tc>
        <w:tc>
          <w:tcPr>
            <w:tcW w:w="99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default" w:ascii="宋体" w:hAnsi="宋体" w:cs="宋体"/>
                <w:color w:val="auto"/>
                <w:szCs w:val="21"/>
                <w:highlight w:val="none"/>
              </w:rPr>
            </w:pPr>
            <w:r>
              <w:rPr>
                <w:rFonts w:hint="eastAsia" w:ascii="宋体" w:hAnsi="宋体" w:cs="宋体"/>
                <w:color w:val="auto"/>
                <w:kern w:val="0"/>
                <w:szCs w:val="21"/>
                <w:highlight w:val="none"/>
                <w:lang w:bidi="ar"/>
              </w:rPr>
              <w:t>张</w:t>
            </w:r>
          </w:p>
        </w:tc>
      </w:tr>
      <w:tr>
        <w:tblPrEx>
          <w:tblCellMar>
            <w:top w:w="0" w:type="dxa"/>
            <w:left w:w="108" w:type="dxa"/>
            <w:bottom w:w="0" w:type="dxa"/>
            <w:right w:w="108" w:type="dxa"/>
          </w:tblCellMar>
        </w:tblPrEx>
        <w:trPr>
          <w:trHeight w:val="904" w:hRule="atLeast"/>
        </w:trPr>
        <w:tc>
          <w:tcPr>
            <w:tcW w:w="53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default" w:ascii="宋体" w:hAnsi="宋体" w:cs="宋体"/>
                <w:color w:val="auto"/>
                <w:szCs w:val="21"/>
                <w:highlight w:val="none"/>
              </w:rPr>
            </w:pPr>
            <w:r>
              <w:rPr>
                <w:rFonts w:hint="eastAsia" w:ascii="宋体" w:hAnsi="宋体" w:cs="宋体"/>
                <w:color w:val="auto"/>
                <w:kern w:val="0"/>
                <w:szCs w:val="21"/>
                <w:highlight w:val="none"/>
                <w:lang w:bidi="ar"/>
              </w:rPr>
              <w:t>7</w:t>
            </w:r>
          </w:p>
        </w:tc>
        <w:tc>
          <w:tcPr>
            <w:tcW w:w="158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default" w:ascii="宋体" w:hAnsi="宋体" w:cs="宋体"/>
                <w:color w:val="auto"/>
                <w:szCs w:val="21"/>
                <w:highlight w:val="none"/>
              </w:rPr>
            </w:pPr>
            <w:r>
              <w:rPr>
                <w:rFonts w:hint="eastAsia" w:ascii="宋体" w:hAnsi="宋体" w:cs="宋体"/>
                <w:color w:val="auto"/>
                <w:kern w:val="0"/>
                <w:szCs w:val="21"/>
                <w:highlight w:val="none"/>
                <w:lang w:bidi="ar"/>
              </w:rPr>
              <w:t>视频拼接服务器</w:t>
            </w:r>
          </w:p>
        </w:tc>
        <w:tc>
          <w:tcPr>
            <w:tcW w:w="4879" w:type="dxa"/>
            <w:tcBorders>
              <w:top w:val="single" w:color="000000" w:sz="4" w:space="0"/>
              <w:left w:val="single" w:color="000000" w:sz="4" w:space="0"/>
              <w:bottom w:val="single" w:color="000000" w:sz="4" w:space="0"/>
              <w:right w:val="single" w:color="000000" w:sz="4" w:space="0"/>
            </w:tcBorders>
          </w:tcPr>
          <w:p>
            <w:pPr>
              <w:keepNext w:val="0"/>
              <w:keepLines w:val="0"/>
              <w:widowControl/>
              <w:suppressLineNumbers w:val="0"/>
              <w:spacing w:before="0" w:beforeAutospacing="0" w:after="0" w:afterAutospacing="0"/>
              <w:ind w:left="0" w:right="0"/>
              <w:jc w:val="left"/>
              <w:textAlignment w:val="top"/>
              <w:rPr>
                <w:rFonts w:hint="default" w:ascii="宋体" w:hAnsi="宋体" w:cs="宋体"/>
                <w:color w:val="auto"/>
                <w:kern w:val="0"/>
                <w:szCs w:val="21"/>
                <w:highlight w:val="none"/>
                <w:lang w:bidi="ar"/>
              </w:rPr>
            </w:pPr>
            <w:r>
              <w:rPr>
                <w:rFonts w:hint="eastAsia" w:ascii="宋体" w:hAnsi="宋体" w:cs="宋体"/>
                <w:color w:val="auto"/>
                <w:kern w:val="0"/>
                <w:szCs w:val="21"/>
                <w:highlight w:val="none"/>
                <w:lang w:bidi="ar"/>
              </w:rPr>
              <w:t>1.配置：≥4路HDMI输入；≥32路网口输出；≥1路预检卡输出</w:t>
            </w:r>
          </w:p>
          <w:p>
            <w:pPr>
              <w:keepNext w:val="0"/>
              <w:keepLines w:val="0"/>
              <w:widowControl/>
              <w:suppressLineNumbers w:val="0"/>
              <w:spacing w:before="0" w:beforeAutospacing="0" w:after="0" w:afterAutospacing="0"/>
              <w:ind w:left="0" w:right="0"/>
              <w:jc w:val="left"/>
              <w:textAlignment w:val="top"/>
              <w:rPr>
                <w:rFonts w:hint="default" w:ascii="宋体" w:hAnsi="宋体" w:cs="宋体"/>
                <w:color w:val="auto"/>
                <w:kern w:val="0"/>
                <w:szCs w:val="21"/>
                <w:highlight w:val="none"/>
                <w:lang w:bidi="ar"/>
              </w:rPr>
            </w:pPr>
            <w:r>
              <w:rPr>
                <w:rFonts w:hint="eastAsia" w:ascii="宋体" w:hAnsi="宋体" w:cs="宋体"/>
                <w:color w:val="auto"/>
                <w:kern w:val="0"/>
                <w:szCs w:val="21"/>
                <w:highlight w:val="none"/>
                <w:lang w:bidi="ar"/>
              </w:rPr>
              <w:t>2.采用拼接器模式+发送卡模式，二者高度集成，系统互联架构简单，可支持3D，HDR模式显示</w:t>
            </w:r>
          </w:p>
          <w:p>
            <w:pPr>
              <w:keepNext w:val="0"/>
              <w:keepLines w:val="0"/>
              <w:widowControl/>
              <w:suppressLineNumbers w:val="0"/>
              <w:spacing w:before="0" w:beforeAutospacing="0" w:after="0" w:afterAutospacing="0"/>
              <w:ind w:left="0" w:right="0"/>
              <w:jc w:val="left"/>
              <w:textAlignment w:val="top"/>
              <w:rPr>
                <w:rFonts w:hint="default" w:ascii="宋体" w:hAnsi="宋体" w:cs="宋体"/>
                <w:color w:val="auto"/>
                <w:kern w:val="0"/>
                <w:szCs w:val="21"/>
                <w:highlight w:val="none"/>
                <w:lang w:bidi="ar"/>
              </w:rPr>
            </w:pPr>
            <w:r>
              <w:rPr>
                <w:rFonts w:hint="eastAsia" w:ascii="宋体" w:hAnsi="宋体" w:cs="宋体"/>
                <w:color w:val="auto"/>
                <w:kern w:val="0"/>
                <w:szCs w:val="21"/>
                <w:highlight w:val="none"/>
                <w:lang w:bidi="ar"/>
              </w:rPr>
              <w:t>3.最大支持≥40路HDMI、DVI输入和≥48路网口输出或≥40路HDMI、DVI输入和≥12路HDMI、DVI输出；单个二合一网口输出卡最大输出视频分辨率为≥5120x2048，最多可接入≥3张二合一网口输出卡；支持光口和网口间复制和热备</w:t>
            </w:r>
          </w:p>
          <w:p>
            <w:pPr>
              <w:keepNext w:val="0"/>
              <w:keepLines w:val="0"/>
              <w:widowControl/>
              <w:suppressLineNumbers w:val="0"/>
              <w:spacing w:before="0" w:beforeAutospacing="0" w:after="0" w:afterAutospacing="0"/>
              <w:ind w:left="0" w:right="0"/>
              <w:jc w:val="left"/>
              <w:textAlignment w:val="top"/>
              <w:rPr>
                <w:rFonts w:hint="default" w:ascii="宋体" w:hAnsi="宋体" w:cs="宋体"/>
                <w:color w:val="auto"/>
                <w:kern w:val="0"/>
                <w:szCs w:val="21"/>
                <w:highlight w:val="none"/>
                <w:lang w:bidi="ar"/>
              </w:rPr>
            </w:pPr>
            <w:r>
              <w:rPr>
                <w:rFonts w:hint="eastAsia" w:ascii="宋体" w:hAnsi="宋体" w:cs="宋体"/>
                <w:color w:val="auto"/>
                <w:kern w:val="0"/>
                <w:szCs w:val="21"/>
                <w:highlight w:val="none"/>
                <w:lang w:bidi="ar"/>
              </w:rPr>
              <w:t>4.输入输出子卡支持热插拔功能，设备无需重启和设置，图像显示正常</w:t>
            </w:r>
          </w:p>
          <w:p>
            <w:pPr>
              <w:keepNext w:val="0"/>
              <w:keepLines w:val="0"/>
              <w:widowControl/>
              <w:suppressLineNumbers w:val="0"/>
              <w:tabs>
                <w:tab w:val="left" w:pos="312"/>
              </w:tabs>
              <w:spacing w:before="0" w:beforeAutospacing="0" w:after="0" w:afterAutospacing="0"/>
              <w:ind w:left="0" w:right="0"/>
              <w:jc w:val="left"/>
              <w:textAlignment w:val="top"/>
              <w:rPr>
                <w:rFonts w:hint="default" w:ascii="宋体" w:hAnsi="宋体" w:cs="宋体"/>
                <w:color w:val="auto"/>
                <w:kern w:val="0"/>
                <w:szCs w:val="21"/>
                <w:highlight w:val="none"/>
                <w:lang w:bidi="ar"/>
              </w:rPr>
            </w:pPr>
            <w:r>
              <w:rPr>
                <w:rFonts w:hint="eastAsia" w:ascii="宋体" w:hAnsi="宋体" w:cs="宋体"/>
                <w:color w:val="auto"/>
                <w:kern w:val="0"/>
                <w:szCs w:val="21"/>
                <w:highlight w:val="none"/>
                <w:lang w:bidi="ar"/>
              </w:rPr>
              <w:t>5.单个输出板卡可支持≥16个窗口叠加显示，支持窗口图像漫游、无极缩放、画面截取、翻转、冻结</w:t>
            </w:r>
          </w:p>
          <w:p>
            <w:pPr>
              <w:keepNext w:val="0"/>
              <w:keepLines w:val="0"/>
              <w:widowControl/>
              <w:suppressLineNumbers w:val="0"/>
              <w:tabs>
                <w:tab w:val="left" w:pos="312"/>
              </w:tabs>
              <w:spacing w:before="0" w:beforeAutospacing="0" w:after="0" w:afterAutospacing="0"/>
              <w:ind w:left="0" w:right="0"/>
              <w:jc w:val="left"/>
              <w:textAlignment w:val="top"/>
              <w:rPr>
                <w:rFonts w:hint="default" w:ascii="宋体" w:hAnsi="宋体" w:cs="宋体"/>
                <w:color w:val="auto"/>
                <w:kern w:val="0"/>
                <w:szCs w:val="21"/>
                <w:highlight w:val="none"/>
                <w:lang w:bidi="ar"/>
              </w:rPr>
            </w:pPr>
            <w:r>
              <w:rPr>
                <w:rFonts w:hint="eastAsia" w:ascii="宋体" w:hAnsi="宋体" w:cs="宋体"/>
                <w:color w:val="auto"/>
                <w:kern w:val="0"/>
                <w:szCs w:val="21"/>
                <w:highlight w:val="none"/>
                <w:lang w:bidi="ar"/>
              </w:rPr>
              <w:t>6.支持屏幕非规则建屏，单卡单接口建屏≥2k，接口输出最大分辨率为≥2560x972或884x2560，单张DVI和HDMI输出卡最大分辨率为≥10240x972或884x10240</w:t>
            </w:r>
          </w:p>
          <w:p>
            <w:pPr>
              <w:keepNext w:val="0"/>
              <w:keepLines w:val="0"/>
              <w:widowControl/>
              <w:suppressLineNumbers w:val="0"/>
              <w:tabs>
                <w:tab w:val="left" w:pos="312"/>
              </w:tabs>
              <w:spacing w:before="0" w:beforeAutospacing="0" w:after="0" w:afterAutospacing="0"/>
              <w:ind w:left="0" w:right="0"/>
              <w:jc w:val="left"/>
              <w:textAlignment w:val="top"/>
              <w:rPr>
                <w:rFonts w:hint="default" w:ascii="宋体" w:hAnsi="宋体" w:cs="宋体"/>
                <w:color w:val="auto"/>
                <w:kern w:val="0"/>
                <w:szCs w:val="21"/>
                <w:highlight w:val="none"/>
                <w:lang w:bidi="ar"/>
              </w:rPr>
            </w:pPr>
            <w:r>
              <w:rPr>
                <w:rFonts w:hint="eastAsia" w:ascii="宋体" w:hAnsi="宋体" w:cs="宋体"/>
                <w:color w:val="auto"/>
                <w:kern w:val="0"/>
                <w:szCs w:val="21"/>
                <w:highlight w:val="none"/>
                <w:lang w:bidi="ar"/>
              </w:rPr>
              <w:t>7.支持设置2000个用户场景，支持淡入淡出、场景调取时间不大于60ms，场景一键轮巡</w:t>
            </w:r>
          </w:p>
          <w:p>
            <w:pPr>
              <w:keepNext w:val="0"/>
              <w:keepLines w:val="0"/>
              <w:widowControl/>
              <w:suppressLineNumbers w:val="0"/>
              <w:tabs>
                <w:tab w:val="left" w:pos="312"/>
              </w:tabs>
              <w:spacing w:before="0" w:beforeAutospacing="0" w:after="0" w:afterAutospacing="0"/>
              <w:ind w:left="0" w:right="0"/>
              <w:jc w:val="left"/>
              <w:textAlignment w:val="top"/>
              <w:rPr>
                <w:rFonts w:hint="default" w:ascii="宋体" w:hAnsi="宋体" w:cs="宋体"/>
                <w:color w:val="auto"/>
                <w:kern w:val="0"/>
                <w:szCs w:val="21"/>
                <w:highlight w:val="none"/>
                <w:lang w:bidi="ar"/>
              </w:rPr>
            </w:pPr>
            <w:r>
              <w:rPr>
                <w:rFonts w:hint="eastAsia" w:ascii="宋体" w:hAnsi="宋体" w:cs="宋体"/>
                <w:color w:val="auto"/>
                <w:kern w:val="0"/>
                <w:szCs w:val="21"/>
                <w:highlight w:val="none"/>
                <w:lang w:bidi="ar"/>
              </w:rPr>
              <w:t>8.支持输入源台标设置（文字、图片），可调整文字背景、位置，支持输入接口内建EDID模板</w:t>
            </w:r>
          </w:p>
          <w:p>
            <w:pPr>
              <w:keepNext w:val="0"/>
              <w:keepLines w:val="0"/>
              <w:widowControl/>
              <w:suppressLineNumbers w:val="0"/>
              <w:tabs>
                <w:tab w:val="left" w:pos="312"/>
              </w:tabs>
              <w:spacing w:before="0" w:beforeAutospacing="0" w:after="0" w:afterAutospacing="0"/>
              <w:ind w:left="0" w:right="0"/>
              <w:jc w:val="left"/>
              <w:textAlignment w:val="top"/>
              <w:rPr>
                <w:rFonts w:hint="default" w:ascii="宋体" w:hAnsi="宋体" w:cs="宋体"/>
                <w:color w:val="auto"/>
                <w:kern w:val="0"/>
                <w:szCs w:val="21"/>
                <w:highlight w:val="none"/>
                <w:lang w:bidi="ar"/>
              </w:rPr>
            </w:pPr>
            <w:r>
              <w:rPr>
                <w:rFonts w:hint="eastAsia" w:ascii="宋体" w:hAnsi="宋体" w:cs="宋体"/>
                <w:color w:val="auto"/>
                <w:kern w:val="0"/>
                <w:szCs w:val="21"/>
                <w:highlight w:val="none"/>
                <w:lang w:bidi="ar"/>
              </w:rPr>
              <w:t>9.设备中每个屏体均支持1个BKG+1个OSD，BKG最大支持到64KK点对点显示；OSD支持透明度和位置自由调节；可进行标语口号、通知消息发布</w:t>
            </w:r>
          </w:p>
          <w:p>
            <w:pPr>
              <w:keepNext w:val="0"/>
              <w:keepLines w:val="0"/>
              <w:widowControl/>
              <w:suppressLineNumbers w:val="0"/>
              <w:tabs>
                <w:tab w:val="left" w:pos="312"/>
              </w:tabs>
              <w:spacing w:before="0" w:beforeAutospacing="0" w:after="0" w:afterAutospacing="0"/>
              <w:ind w:left="0" w:right="0"/>
              <w:jc w:val="left"/>
              <w:textAlignment w:val="top"/>
              <w:rPr>
                <w:rFonts w:hint="default" w:ascii="宋体" w:hAnsi="宋体" w:cs="宋体"/>
                <w:color w:val="auto"/>
                <w:kern w:val="0"/>
                <w:szCs w:val="21"/>
                <w:highlight w:val="none"/>
                <w:lang w:bidi="ar"/>
              </w:rPr>
            </w:pPr>
            <w:r>
              <w:rPr>
                <w:rFonts w:hint="eastAsia" w:ascii="宋体" w:hAnsi="宋体" w:cs="宋体"/>
                <w:color w:val="auto"/>
                <w:kern w:val="0"/>
                <w:szCs w:val="21"/>
                <w:highlight w:val="none"/>
                <w:lang w:bidi="ar"/>
              </w:rPr>
              <w:t>10.▲支持windows、麒麟(Kylin)、linux操作系统访问设备及交互操作。</w:t>
            </w:r>
            <w:r>
              <w:rPr>
                <w:rFonts w:hint="eastAsia" w:ascii="宋体" w:hAnsi="宋体" w:cs="宋体"/>
                <w:b/>
                <w:bCs/>
                <w:color w:val="auto"/>
                <w:kern w:val="0"/>
                <w:szCs w:val="21"/>
                <w:highlight w:val="none"/>
                <w:lang w:bidi="ar"/>
              </w:rPr>
              <w:t>（提供国家认可有检测资质的检测机构出具的检验报告复印件，加盖投标人单位公章，原件备查）</w:t>
            </w:r>
          </w:p>
        </w:tc>
        <w:tc>
          <w:tcPr>
            <w:tcW w:w="99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default" w:ascii="宋体" w:hAnsi="宋体" w:cs="宋体"/>
                <w:color w:val="auto"/>
                <w:szCs w:val="21"/>
                <w:highlight w:val="none"/>
              </w:rPr>
            </w:pPr>
            <w:r>
              <w:rPr>
                <w:rFonts w:hint="eastAsia" w:ascii="宋体" w:hAnsi="宋体" w:cs="宋体"/>
                <w:color w:val="auto"/>
                <w:kern w:val="0"/>
                <w:szCs w:val="21"/>
                <w:highlight w:val="none"/>
                <w:lang w:bidi="ar"/>
              </w:rPr>
              <w:t>1</w:t>
            </w:r>
          </w:p>
        </w:tc>
        <w:tc>
          <w:tcPr>
            <w:tcW w:w="99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default" w:ascii="宋体" w:hAnsi="宋体" w:cs="宋体"/>
                <w:color w:val="auto"/>
                <w:szCs w:val="21"/>
                <w:highlight w:val="none"/>
              </w:rPr>
            </w:pPr>
            <w:r>
              <w:rPr>
                <w:rFonts w:hint="eastAsia" w:ascii="宋体" w:hAnsi="宋体" w:cs="宋体"/>
                <w:color w:val="auto"/>
                <w:kern w:val="0"/>
                <w:szCs w:val="21"/>
                <w:highlight w:val="none"/>
                <w:lang w:bidi="ar"/>
              </w:rPr>
              <w:t>台</w:t>
            </w:r>
          </w:p>
        </w:tc>
      </w:tr>
      <w:tr>
        <w:tblPrEx>
          <w:tblCellMar>
            <w:top w:w="0" w:type="dxa"/>
            <w:left w:w="108" w:type="dxa"/>
            <w:bottom w:w="0" w:type="dxa"/>
            <w:right w:w="108" w:type="dxa"/>
          </w:tblCellMar>
        </w:tblPrEx>
        <w:trPr>
          <w:trHeight w:val="92" w:hRule="atLeast"/>
        </w:trPr>
        <w:tc>
          <w:tcPr>
            <w:tcW w:w="53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default" w:ascii="宋体" w:hAnsi="宋体" w:cs="宋体"/>
                <w:color w:val="auto"/>
                <w:szCs w:val="21"/>
                <w:highlight w:val="none"/>
              </w:rPr>
            </w:pPr>
            <w:r>
              <w:rPr>
                <w:rFonts w:hint="eastAsia" w:ascii="宋体" w:hAnsi="宋体" w:cs="宋体"/>
                <w:color w:val="auto"/>
                <w:kern w:val="0"/>
                <w:szCs w:val="21"/>
                <w:highlight w:val="none"/>
                <w:lang w:bidi="ar"/>
              </w:rPr>
              <w:t>8</w:t>
            </w:r>
          </w:p>
        </w:tc>
        <w:tc>
          <w:tcPr>
            <w:tcW w:w="158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default" w:ascii="宋体" w:hAnsi="宋体" w:cs="宋体"/>
                <w:color w:val="auto"/>
                <w:szCs w:val="21"/>
                <w:highlight w:val="none"/>
              </w:rPr>
            </w:pPr>
            <w:r>
              <w:rPr>
                <w:rFonts w:hint="eastAsia" w:ascii="宋体" w:hAnsi="宋体" w:cs="宋体"/>
                <w:color w:val="auto"/>
                <w:kern w:val="0"/>
                <w:szCs w:val="21"/>
                <w:highlight w:val="none"/>
                <w:lang w:bidi="ar"/>
              </w:rPr>
              <w:t>媒体服务器</w:t>
            </w:r>
          </w:p>
        </w:tc>
        <w:tc>
          <w:tcPr>
            <w:tcW w:w="4879" w:type="dxa"/>
            <w:tcBorders>
              <w:top w:val="single" w:color="000000" w:sz="4" w:space="0"/>
              <w:left w:val="single" w:color="000000" w:sz="4" w:space="0"/>
              <w:bottom w:val="single" w:color="000000" w:sz="4" w:space="0"/>
              <w:right w:val="single" w:color="000000" w:sz="4" w:space="0"/>
            </w:tcBorders>
          </w:tcPr>
          <w:p>
            <w:pPr>
              <w:keepNext w:val="0"/>
              <w:keepLines w:val="0"/>
              <w:widowControl/>
              <w:suppressLineNumbers w:val="0"/>
              <w:spacing w:before="0" w:beforeAutospacing="0" w:after="0" w:afterAutospacing="0"/>
              <w:ind w:left="0" w:right="0"/>
              <w:jc w:val="left"/>
              <w:textAlignment w:val="top"/>
              <w:rPr>
                <w:rFonts w:hint="default" w:ascii="宋体" w:hAnsi="宋体" w:cs="宋体"/>
                <w:color w:val="auto"/>
                <w:kern w:val="0"/>
                <w:szCs w:val="21"/>
                <w:highlight w:val="none"/>
                <w:lang w:bidi="ar"/>
              </w:rPr>
            </w:pPr>
            <w:r>
              <w:rPr>
                <w:rFonts w:hint="eastAsia" w:ascii="宋体" w:hAnsi="宋体" w:cs="宋体"/>
                <w:color w:val="auto"/>
                <w:kern w:val="0"/>
                <w:szCs w:val="21"/>
                <w:highlight w:val="none"/>
                <w:lang w:bidi="ar"/>
              </w:rPr>
              <w:t>1.支持独立的≥4路DP输出，接口分辨率可设置为≥4096*2160@60Hz，支持最大宽分辨率为≥8192，支持最大宽分辨率为≥8192。</w:t>
            </w:r>
          </w:p>
          <w:p>
            <w:pPr>
              <w:keepNext w:val="0"/>
              <w:keepLines w:val="0"/>
              <w:widowControl/>
              <w:suppressLineNumbers w:val="0"/>
              <w:spacing w:before="0" w:beforeAutospacing="0" w:after="0" w:afterAutospacing="0"/>
              <w:ind w:left="0" w:right="0"/>
              <w:jc w:val="left"/>
              <w:textAlignment w:val="top"/>
              <w:rPr>
                <w:rFonts w:hint="default" w:ascii="宋体" w:hAnsi="宋体" w:cs="宋体"/>
                <w:color w:val="auto"/>
                <w:kern w:val="0"/>
                <w:szCs w:val="21"/>
                <w:highlight w:val="none"/>
                <w:lang w:bidi="ar"/>
              </w:rPr>
            </w:pPr>
            <w:r>
              <w:rPr>
                <w:rFonts w:hint="eastAsia" w:ascii="宋体" w:hAnsi="宋体" w:cs="宋体"/>
                <w:color w:val="auto"/>
                <w:kern w:val="0"/>
                <w:szCs w:val="21"/>
                <w:highlight w:val="none"/>
                <w:lang w:bidi="ar"/>
              </w:rPr>
              <w:t>2.支持单设备≥4接口拼接同步显示，拼接带载分辨率可设置为≥7680*4320@60Hz。</w:t>
            </w:r>
          </w:p>
          <w:p>
            <w:pPr>
              <w:keepNext w:val="0"/>
              <w:keepLines w:val="0"/>
              <w:widowControl/>
              <w:suppressLineNumbers w:val="0"/>
              <w:spacing w:before="0" w:beforeAutospacing="0" w:after="0" w:afterAutospacing="0"/>
              <w:ind w:left="0" w:right="0"/>
              <w:jc w:val="left"/>
              <w:textAlignment w:val="top"/>
              <w:rPr>
                <w:rFonts w:hint="default" w:ascii="宋体" w:hAnsi="宋体" w:cs="宋体"/>
                <w:color w:val="auto"/>
                <w:kern w:val="0"/>
                <w:szCs w:val="21"/>
                <w:highlight w:val="none"/>
                <w:lang w:bidi="ar"/>
              </w:rPr>
            </w:pPr>
            <w:r>
              <w:rPr>
                <w:rFonts w:hint="eastAsia" w:ascii="宋体" w:hAnsi="宋体" w:cs="宋体"/>
                <w:color w:val="auto"/>
                <w:kern w:val="0"/>
                <w:szCs w:val="21"/>
                <w:highlight w:val="none"/>
                <w:lang w:bidi="ar"/>
              </w:rPr>
              <w:t>3.可通过同步卡实现服务器输出热备份，播放画面实时帧同步，切换无黑屏、闪屏，画面连续播放不卡顿。</w:t>
            </w:r>
          </w:p>
          <w:p>
            <w:pPr>
              <w:keepNext w:val="0"/>
              <w:keepLines w:val="0"/>
              <w:widowControl/>
              <w:suppressLineNumbers w:val="0"/>
              <w:spacing w:before="0" w:beforeAutospacing="0" w:after="0" w:afterAutospacing="0"/>
              <w:ind w:left="0" w:right="0"/>
              <w:jc w:val="left"/>
              <w:textAlignment w:val="top"/>
              <w:rPr>
                <w:rFonts w:hint="default" w:ascii="宋体" w:hAnsi="宋体" w:cs="宋体"/>
                <w:color w:val="auto"/>
                <w:kern w:val="0"/>
                <w:szCs w:val="21"/>
                <w:highlight w:val="none"/>
                <w:lang w:bidi="ar"/>
              </w:rPr>
            </w:pPr>
            <w:r>
              <w:rPr>
                <w:rFonts w:hint="eastAsia" w:ascii="宋体" w:hAnsi="宋体" w:cs="宋体"/>
                <w:color w:val="auto"/>
                <w:kern w:val="0"/>
                <w:szCs w:val="21"/>
                <w:highlight w:val="none"/>
                <w:lang w:bidi="ar"/>
              </w:rPr>
              <w:t>4.配合使用3D眼镜和外置发射器（内置3D片源），可在外接普通LED显示屏上显示3D效果，可实现单接口独立3D播放输出或4接口拼接3D同步输出，分辨率可设置为≥3840x2160@60Hz</w:t>
            </w:r>
          </w:p>
          <w:p>
            <w:pPr>
              <w:keepNext w:val="0"/>
              <w:keepLines w:val="0"/>
              <w:widowControl/>
              <w:suppressLineNumbers w:val="0"/>
              <w:spacing w:before="0" w:beforeAutospacing="0" w:after="0" w:afterAutospacing="0"/>
              <w:ind w:left="0" w:right="0"/>
              <w:jc w:val="left"/>
              <w:textAlignment w:val="top"/>
              <w:rPr>
                <w:rFonts w:hint="default" w:ascii="宋体" w:hAnsi="宋体" w:cs="宋体"/>
                <w:color w:val="auto"/>
                <w:kern w:val="0"/>
                <w:szCs w:val="21"/>
                <w:highlight w:val="none"/>
                <w:lang w:bidi="ar"/>
              </w:rPr>
            </w:pPr>
            <w:r>
              <w:rPr>
                <w:rFonts w:hint="eastAsia" w:ascii="宋体" w:hAnsi="宋体" w:cs="宋体"/>
                <w:color w:val="auto"/>
                <w:kern w:val="0"/>
                <w:szCs w:val="21"/>
                <w:highlight w:val="none"/>
                <w:lang w:bidi="ar"/>
              </w:rPr>
              <w:t>5.支持独立的HDMI或DP监视接口输出，用于播控软件界面编辑，不占用显示输出接口。</w:t>
            </w:r>
          </w:p>
          <w:p>
            <w:pPr>
              <w:keepNext w:val="0"/>
              <w:keepLines w:val="0"/>
              <w:widowControl/>
              <w:suppressLineNumbers w:val="0"/>
              <w:spacing w:before="0" w:beforeAutospacing="0" w:after="0" w:afterAutospacing="0"/>
              <w:ind w:left="0" w:right="0"/>
              <w:jc w:val="left"/>
              <w:textAlignment w:val="top"/>
              <w:rPr>
                <w:rFonts w:hint="default" w:ascii="宋体" w:hAnsi="宋体" w:cs="宋体"/>
                <w:color w:val="auto"/>
                <w:kern w:val="0"/>
                <w:szCs w:val="21"/>
                <w:highlight w:val="none"/>
                <w:lang w:bidi="ar"/>
              </w:rPr>
            </w:pPr>
            <w:r>
              <w:rPr>
                <w:rFonts w:hint="eastAsia" w:ascii="宋体" w:hAnsi="宋体" w:cs="宋体"/>
                <w:color w:val="auto"/>
                <w:kern w:val="0"/>
                <w:szCs w:val="21"/>
                <w:highlight w:val="none"/>
                <w:lang w:bidi="ar"/>
              </w:rPr>
              <w:t>▲6.设备配置≥32G DDR4 2666高速内存、≥250G和500G双固态硬盘，可配置显卡。</w:t>
            </w:r>
            <w:r>
              <w:rPr>
                <w:rFonts w:hint="eastAsia" w:ascii="宋体" w:hAnsi="宋体" w:cs="宋体"/>
                <w:b/>
                <w:color w:val="auto"/>
                <w:kern w:val="0"/>
                <w:szCs w:val="21"/>
                <w:highlight w:val="none"/>
                <w:lang w:bidi="ar"/>
              </w:rPr>
              <w:t>（提供国家认可有检测资质的检测机构出具的检验报告复印件，加盖投标人单位公章，原件备查）</w:t>
            </w:r>
          </w:p>
          <w:p>
            <w:pPr>
              <w:keepNext w:val="0"/>
              <w:keepLines w:val="0"/>
              <w:widowControl/>
              <w:suppressLineNumbers w:val="0"/>
              <w:spacing w:before="0" w:beforeAutospacing="0" w:after="0" w:afterAutospacing="0"/>
              <w:ind w:left="0" w:right="0"/>
              <w:jc w:val="left"/>
              <w:textAlignment w:val="top"/>
              <w:rPr>
                <w:rFonts w:hint="default" w:ascii="宋体" w:hAnsi="宋体" w:cs="宋体"/>
                <w:color w:val="auto"/>
                <w:kern w:val="0"/>
                <w:szCs w:val="21"/>
                <w:highlight w:val="none"/>
                <w:lang w:bidi="ar"/>
              </w:rPr>
            </w:pPr>
            <w:r>
              <w:rPr>
                <w:rFonts w:hint="eastAsia" w:ascii="宋体" w:hAnsi="宋体" w:cs="宋体"/>
                <w:color w:val="auto"/>
                <w:kern w:val="0"/>
                <w:szCs w:val="21"/>
                <w:highlight w:val="none"/>
                <w:lang w:bidi="ar"/>
              </w:rPr>
              <w:t>7.配置显卡，可满足至少1个8K或4个4K硬件解码播放，且播放流畅不卡顿。</w:t>
            </w:r>
          </w:p>
          <w:p>
            <w:pPr>
              <w:keepNext w:val="0"/>
              <w:keepLines w:val="0"/>
              <w:widowControl/>
              <w:suppressLineNumbers w:val="0"/>
              <w:spacing w:before="0" w:beforeAutospacing="0" w:after="0" w:afterAutospacing="0"/>
              <w:ind w:left="0" w:right="0"/>
              <w:jc w:val="left"/>
              <w:textAlignment w:val="top"/>
              <w:rPr>
                <w:rFonts w:hint="default" w:ascii="宋体" w:hAnsi="宋体" w:cs="宋体"/>
                <w:color w:val="auto"/>
                <w:kern w:val="0"/>
                <w:szCs w:val="21"/>
                <w:highlight w:val="none"/>
                <w:lang w:bidi="ar"/>
              </w:rPr>
            </w:pPr>
            <w:r>
              <w:rPr>
                <w:rFonts w:hint="eastAsia" w:ascii="宋体" w:hAnsi="宋体" w:cs="宋体"/>
                <w:color w:val="auto"/>
                <w:kern w:val="0"/>
                <w:szCs w:val="21"/>
                <w:highlight w:val="none"/>
                <w:lang w:bidi="ar"/>
              </w:rPr>
              <w:t>8.支持多画面同时播放时按照主计时媒体进行跳转。</w:t>
            </w:r>
          </w:p>
          <w:p>
            <w:pPr>
              <w:keepNext w:val="0"/>
              <w:keepLines w:val="0"/>
              <w:widowControl/>
              <w:suppressLineNumbers w:val="0"/>
              <w:spacing w:before="0" w:beforeAutospacing="0" w:after="0" w:afterAutospacing="0"/>
              <w:ind w:left="0" w:right="0"/>
              <w:jc w:val="left"/>
              <w:textAlignment w:val="top"/>
              <w:rPr>
                <w:rFonts w:hint="default" w:ascii="宋体" w:hAnsi="宋体" w:cs="宋体"/>
                <w:color w:val="auto"/>
                <w:szCs w:val="21"/>
                <w:highlight w:val="none"/>
              </w:rPr>
            </w:pPr>
            <w:r>
              <w:rPr>
                <w:rFonts w:hint="eastAsia" w:ascii="宋体" w:hAnsi="宋体" w:cs="宋体"/>
                <w:color w:val="auto"/>
                <w:kern w:val="0"/>
                <w:szCs w:val="21"/>
                <w:highlight w:val="none"/>
                <w:lang w:bidi="ar"/>
              </w:rPr>
              <w:t>9.▲支持通过可视化控制平台软件对播放画面的编辑和控制。</w:t>
            </w:r>
            <w:r>
              <w:rPr>
                <w:rFonts w:hint="eastAsia" w:ascii="宋体" w:hAnsi="宋体" w:cs="宋体"/>
                <w:b/>
                <w:color w:val="auto"/>
                <w:kern w:val="0"/>
                <w:szCs w:val="21"/>
                <w:highlight w:val="none"/>
                <w:lang w:bidi="ar"/>
              </w:rPr>
              <w:t>（提供国家认可有检测资质的检测机构出具的检验报告复印件，加盖投标人单位公章，原件备查）</w:t>
            </w:r>
          </w:p>
        </w:tc>
        <w:tc>
          <w:tcPr>
            <w:tcW w:w="99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default" w:ascii="宋体" w:hAnsi="宋体" w:cs="宋体"/>
                <w:color w:val="auto"/>
                <w:szCs w:val="21"/>
                <w:highlight w:val="none"/>
              </w:rPr>
            </w:pPr>
            <w:r>
              <w:rPr>
                <w:rFonts w:hint="eastAsia" w:ascii="宋体" w:hAnsi="宋体" w:cs="宋体"/>
                <w:color w:val="auto"/>
                <w:kern w:val="0"/>
                <w:szCs w:val="21"/>
                <w:highlight w:val="none"/>
                <w:lang w:bidi="ar"/>
              </w:rPr>
              <w:t>1</w:t>
            </w:r>
          </w:p>
        </w:tc>
        <w:tc>
          <w:tcPr>
            <w:tcW w:w="99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default" w:ascii="宋体" w:hAnsi="宋体" w:cs="宋体"/>
                <w:color w:val="auto"/>
                <w:szCs w:val="21"/>
                <w:highlight w:val="none"/>
              </w:rPr>
            </w:pPr>
            <w:r>
              <w:rPr>
                <w:rFonts w:hint="eastAsia" w:ascii="宋体" w:hAnsi="宋体" w:cs="宋体"/>
                <w:color w:val="auto"/>
                <w:kern w:val="0"/>
                <w:szCs w:val="21"/>
                <w:highlight w:val="none"/>
                <w:lang w:bidi="ar"/>
              </w:rPr>
              <w:t>台</w:t>
            </w:r>
          </w:p>
        </w:tc>
      </w:tr>
      <w:tr>
        <w:tblPrEx>
          <w:tblCellMar>
            <w:top w:w="0" w:type="dxa"/>
            <w:left w:w="108" w:type="dxa"/>
            <w:bottom w:w="0" w:type="dxa"/>
            <w:right w:w="108" w:type="dxa"/>
          </w:tblCellMar>
        </w:tblPrEx>
        <w:trPr>
          <w:trHeight w:val="47" w:hRule="atLeast"/>
        </w:trPr>
        <w:tc>
          <w:tcPr>
            <w:tcW w:w="53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default" w:ascii="宋体" w:hAnsi="宋体" w:cs="宋体"/>
                <w:color w:val="auto"/>
                <w:szCs w:val="21"/>
                <w:highlight w:val="none"/>
              </w:rPr>
            </w:pPr>
            <w:r>
              <w:rPr>
                <w:rFonts w:hint="eastAsia" w:ascii="宋体" w:hAnsi="宋体" w:cs="宋体"/>
                <w:color w:val="auto"/>
                <w:kern w:val="0"/>
                <w:szCs w:val="21"/>
                <w:highlight w:val="none"/>
                <w:lang w:bidi="ar"/>
              </w:rPr>
              <w:t>9</w:t>
            </w:r>
          </w:p>
        </w:tc>
        <w:tc>
          <w:tcPr>
            <w:tcW w:w="158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default" w:ascii="宋体" w:hAnsi="宋体" w:cs="宋体"/>
                <w:color w:val="auto"/>
                <w:szCs w:val="21"/>
                <w:highlight w:val="none"/>
              </w:rPr>
            </w:pPr>
            <w:r>
              <w:rPr>
                <w:rFonts w:hint="eastAsia" w:ascii="宋体" w:hAnsi="宋体" w:cs="宋体"/>
                <w:color w:val="auto"/>
                <w:kern w:val="0"/>
                <w:szCs w:val="21"/>
                <w:highlight w:val="none"/>
                <w:lang w:bidi="ar"/>
              </w:rPr>
              <w:t>播放软件</w:t>
            </w:r>
          </w:p>
        </w:tc>
        <w:tc>
          <w:tcPr>
            <w:tcW w:w="487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default" w:ascii="宋体" w:hAnsi="宋体" w:cs="宋体"/>
                <w:color w:val="auto"/>
                <w:kern w:val="0"/>
                <w:szCs w:val="21"/>
                <w:highlight w:val="none"/>
                <w:lang w:bidi="ar"/>
              </w:rPr>
            </w:pPr>
            <w:r>
              <w:rPr>
                <w:rFonts w:hint="eastAsia" w:ascii="宋体" w:hAnsi="宋体" w:cs="宋体"/>
                <w:color w:val="auto"/>
                <w:kern w:val="0"/>
                <w:szCs w:val="21"/>
                <w:highlight w:val="none"/>
                <w:lang w:bidi="ar"/>
              </w:rPr>
              <w:t>1.支持1个8K4K@60fps或4个4K2K@60fps视频素材的硬件解码和硬件渲染播放，播放效果流畅不卡顿。</w:t>
            </w:r>
          </w:p>
          <w:p>
            <w:pPr>
              <w:keepNext w:val="0"/>
              <w:keepLines w:val="0"/>
              <w:widowControl/>
              <w:suppressLineNumbers w:val="0"/>
              <w:spacing w:before="0" w:beforeAutospacing="0" w:after="0" w:afterAutospacing="0"/>
              <w:ind w:left="0" w:right="0"/>
              <w:jc w:val="left"/>
              <w:textAlignment w:val="center"/>
              <w:rPr>
                <w:rFonts w:hint="default" w:ascii="宋体" w:hAnsi="宋体" w:cs="宋体"/>
                <w:color w:val="auto"/>
                <w:kern w:val="0"/>
                <w:szCs w:val="21"/>
                <w:highlight w:val="none"/>
                <w:lang w:bidi="ar"/>
              </w:rPr>
            </w:pPr>
            <w:r>
              <w:rPr>
                <w:rFonts w:hint="eastAsia" w:ascii="宋体" w:hAnsi="宋体" w:cs="宋体"/>
                <w:color w:val="auto"/>
                <w:kern w:val="0"/>
                <w:szCs w:val="21"/>
                <w:highlight w:val="none"/>
                <w:lang w:bidi="ar"/>
              </w:rPr>
              <w:t>2.支持8个动态图层和1个音频图层的同时播放，可扩展至更多图层。</w:t>
            </w:r>
          </w:p>
          <w:p>
            <w:pPr>
              <w:keepNext w:val="0"/>
              <w:keepLines w:val="0"/>
              <w:widowControl/>
              <w:suppressLineNumbers w:val="0"/>
              <w:spacing w:before="0" w:beforeAutospacing="0" w:after="0" w:afterAutospacing="0"/>
              <w:ind w:left="0" w:right="0"/>
              <w:jc w:val="left"/>
              <w:textAlignment w:val="center"/>
              <w:rPr>
                <w:rFonts w:hint="default" w:ascii="宋体" w:hAnsi="宋体" w:cs="宋体"/>
                <w:color w:val="auto"/>
                <w:kern w:val="0"/>
                <w:szCs w:val="21"/>
                <w:highlight w:val="none"/>
                <w:lang w:bidi="ar"/>
              </w:rPr>
            </w:pPr>
            <w:r>
              <w:rPr>
                <w:rFonts w:hint="eastAsia" w:ascii="宋体" w:hAnsi="宋体" w:cs="宋体"/>
                <w:color w:val="auto"/>
                <w:kern w:val="0"/>
                <w:szCs w:val="21"/>
                <w:highlight w:val="none"/>
                <w:lang w:bidi="ar"/>
              </w:rPr>
              <w:t>3.支持播放画面编辑和输出分离，预览编辑完成后再输出播放。</w:t>
            </w:r>
          </w:p>
          <w:p>
            <w:pPr>
              <w:keepNext w:val="0"/>
              <w:keepLines w:val="0"/>
              <w:widowControl/>
              <w:suppressLineNumbers w:val="0"/>
              <w:spacing w:before="0" w:beforeAutospacing="0" w:after="0" w:afterAutospacing="0"/>
              <w:ind w:left="0" w:right="0"/>
              <w:jc w:val="left"/>
              <w:textAlignment w:val="center"/>
              <w:rPr>
                <w:rFonts w:hint="default" w:ascii="宋体" w:hAnsi="宋体" w:cs="宋体"/>
                <w:color w:val="auto"/>
                <w:kern w:val="0"/>
                <w:szCs w:val="21"/>
                <w:highlight w:val="none"/>
                <w:lang w:bidi="ar"/>
              </w:rPr>
            </w:pPr>
            <w:r>
              <w:rPr>
                <w:rFonts w:hint="eastAsia" w:ascii="宋体" w:hAnsi="宋体" w:cs="宋体"/>
                <w:color w:val="auto"/>
                <w:kern w:val="0"/>
                <w:szCs w:val="21"/>
                <w:highlight w:val="none"/>
                <w:lang w:bidi="ar"/>
              </w:rPr>
              <w:t>4.支持播放画面直切、淡入淡出的切换特效和渐变黑屏、测试画面、输出显示控制。</w:t>
            </w:r>
          </w:p>
          <w:p>
            <w:pPr>
              <w:keepNext w:val="0"/>
              <w:keepLines w:val="0"/>
              <w:widowControl/>
              <w:suppressLineNumbers w:val="0"/>
              <w:spacing w:before="0" w:beforeAutospacing="0" w:after="0" w:afterAutospacing="0"/>
              <w:ind w:left="0" w:right="0"/>
              <w:jc w:val="left"/>
              <w:textAlignment w:val="center"/>
              <w:rPr>
                <w:rFonts w:hint="default" w:ascii="宋体" w:hAnsi="宋体" w:cs="宋体"/>
                <w:color w:val="auto"/>
                <w:kern w:val="0"/>
                <w:szCs w:val="21"/>
                <w:highlight w:val="none"/>
                <w:lang w:bidi="ar"/>
              </w:rPr>
            </w:pPr>
            <w:r>
              <w:rPr>
                <w:rFonts w:hint="eastAsia" w:ascii="宋体" w:hAnsi="宋体" w:cs="宋体"/>
                <w:color w:val="auto"/>
                <w:kern w:val="0"/>
                <w:szCs w:val="21"/>
                <w:highlight w:val="none"/>
                <w:lang w:bidi="ar"/>
              </w:rPr>
              <w:t>5.支持从本地媒体画面或输入源画面中拾取颜色，然后按照拾取的颜色进行抠像处理。</w:t>
            </w:r>
          </w:p>
          <w:p>
            <w:pPr>
              <w:keepNext w:val="0"/>
              <w:keepLines w:val="0"/>
              <w:widowControl/>
              <w:suppressLineNumbers w:val="0"/>
              <w:spacing w:before="0" w:beforeAutospacing="0" w:after="0" w:afterAutospacing="0"/>
              <w:ind w:left="0" w:right="0"/>
              <w:jc w:val="left"/>
              <w:textAlignment w:val="center"/>
              <w:rPr>
                <w:rFonts w:hint="default" w:ascii="宋体" w:hAnsi="宋体" w:cs="宋体"/>
                <w:color w:val="auto"/>
                <w:kern w:val="0"/>
                <w:szCs w:val="21"/>
                <w:highlight w:val="none"/>
                <w:lang w:bidi="ar"/>
              </w:rPr>
            </w:pPr>
            <w:r>
              <w:rPr>
                <w:rFonts w:hint="eastAsia" w:ascii="宋体" w:hAnsi="宋体" w:cs="宋体"/>
                <w:color w:val="auto"/>
                <w:kern w:val="0"/>
                <w:szCs w:val="21"/>
                <w:highlight w:val="none"/>
                <w:lang w:bidi="ar"/>
              </w:rPr>
              <w:t>6.支持将媒体库的媒体添加到节目中，同时支持对节目中任意一个媒体按区域进行画质调节、裁剪，遮罩。</w:t>
            </w:r>
          </w:p>
          <w:p>
            <w:pPr>
              <w:keepNext w:val="0"/>
              <w:keepLines w:val="0"/>
              <w:widowControl/>
              <w:suppressLineNumbers w:val="0"/>
              <w:spacing w:before="0" w:beforeAutospacing="0" w:after="0" w:afterAutospacing="0"/>
              <w:ind w:left="0" w:right="0"/>
              <w:jc w:val="left"/>
              <w:textAlignment w:val="center"/>
              <w:rPr>
                <w:rFonts w:hint="default" w:ascii="宋体" w:hAnsi="宋体" w:cs="宋体"/>
                <w:color w:val="auto"/>
                <w:kern w:val="0"/>
                <w:szCs w:val="21"/>
                <w:highlight w:val="none"/>
                <w:lang w:bidi="ar"/>
              </w:rPr>
            </w:pPr>
            <w:r>
              <w:rPr>
                <w:rFonts w:hint="eastAsia" w:ascii="宋体" w:hAnsi="宋体" w:cs="宋体"/>
                <w:color w:val="auto"/>
                <w:kern w:val="0"/>
                <w:szCs w:val="21"/>
                <w:highlight w:val="none"/>
                <w:lang w:bidi="ar"/>
              </w:rPr>
              <w:t>7.支持节目整体播放、暂停、停止、音量调节，单个媒体的音量调节，单个媒体的快进和快退播放。</w:t>
            </w:r>
          </w:p>
          <w:p>
            <w:pPr>
              <w:keepNext w:val="0"/>
              <w:keepLines w:val="0"/>
              <w:widowControl/>
              <w:suppressLineNumbers w:val="0"/>
              <w:spacing w:before="0" w:beforeAutospacing="0" w:after="0" w:afterAutospacing="0"/>
              <w:ind w:left="0" w:right="0"/>
              <w:jc w:val="left"/>
              <w:textAlignment w:val="center"/>
              <w:rPr>
                <w:rFonts w:hint="default" w:ascii="宋体" w:hAnsi="宋体" w:cs="宋体"/>
                <w:color w:val="auto"/>
                <w:szCs w:val="21"/>
                <w:highlight w:val="none"/>
              </w:rPr>
            </w:pPr>
            <w:r>
              <w:rPr>
                <w:rFonts w:hint="eastAsia" w:ascii="宋体" w:hAnsi="宋体" w:cs="宋体"/>
                <w:color w:val="auto"/>
                <w:kern w:val="0"/>
                <w:szCs w:val="21"/>
                <w:highlight w:val="none"/>
                <w:lang w:bidi="ar"/>
              </w:rPr>
              <w:t>8.支持多画面同时播放时按照主计时媒体进行跳转。</w:t>
            </w:r>
          </w:p>
        </w:tc>
        <w:tc>
          <w:tcPr>
            <w:tcW w:w="99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default" w:ascii="宋体" w:hAnsi="宋体" w:cs="宋体"/>
                <w:color w:val="auto"/>
                <w:szCs w:val="21"/>
                <w:highlight w:val="none"/>
              </w:rPr>
            </w:pPr>
            <w:r>
              <w:rPr>
                <w:rFonts w:hint="eastAsia" w:ascii="宋体" w:hAnsi="宋体" w:cs="宋体"/>
                <w:color w:val="auto"/>
                <w:kern w:val="0"/>
                <w:szCs w:val="21"/>
                <w:highlight w:val="none"/>
                <w:lang w:bidi="ar"/>
              </w:rPr>
              <w:t>1</w:t>
            </w:r>
          </w:p>
        </w:tc>
        <w:tc>
          <w:tcPr>
            <w:tcW w:w="99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default" w:ascii="宋体" w:hAnsi="宋体" w:cs="宋体"/>
                <w:color w:val="auto"/>
                <w:szCs w:val="21"/>
                <w:highlight w:val="none"/>
              </w:rPr>
            </w:pPr>
            <w:r>
              <w:rPr>
                <w:rFonts w:hint="eastAsia" w:ascii="宋体" w:hAnsi="宋体" w:cs="宋体"/>
                <w:color w:val="auto"/>
                <w:kern w:val="0"/>
                <w:szCs w:val="21"/>
                <w:highlight w:val="none"/>
                <w:lang w:bidi="ar"/>
              </w:rPr>
              <w:t>套</w:t>
            </w:r>
          </w:p>
        </w:tc>
      </w:tr>
      <w:tr>
        <w:tblPrEx>
          <w:tblCellMar>
            <w:top w:w="0" w:type="dxa"/>
            <w:left w:w="108" w:type="dxa"/>
            <w:bottom w:w="0" w:type="dxa"/>
            <w:right w:w="108" w:type="dxa"/>
          </w:tblCellMar>
        </w:tblPrEx>
        <w:trPr>
          <w:trHeight w:val="5340" w:hRule="atLeast"/>
        </w:trPr>
        <w:tc>
          <w:tcPr>
            <w:tcW w:w="53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default" w:ascii="宋体" w:hAnsi="宋体" w:cs="宋体"/>
                <w:color w:val="auto"/>
                <w:szCs w:val="21"/>
                <w:highlight w:val="none"/>
              </w:rPr>
            </w:pPr>
            <w:r>
              <w:rPr>
                <w:rFonts w:hint="eastAsia" w:ascii="宋体" w:hAnsi="宋体" w:cs="宋体"/>
                <w:color w:val="auto"/>
                <w:kern w:val="0"/>
                <w:szCs w:val="21"/>
                <w:highlight w:val="none"/>
                <w:lang w:bidi="ar"/>
              </w:rPr>
              <w:t>10</w:t>
            </w:r>
          </w:p>
        </w:tc>
        <w:tc>
          <w:tcPr>
            <w:tcW w:w="158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default" w:ascii="宋体" w:hAnsi="宋体" w:cs="宋体"/>
                <w:color w:val="auto"/>
                <w:szCs w:val="21"/>
                <w:highlight w:val="none"/>
              </w:rPr>
            </w:pPr>
            <w:r>
              <w:rPr>
                <w:rFonts w:hint="eastAsia" w:ascii="宋体" w:hAnsi="宋体" w:cs="宋体"/>
                <w:color w:val="auto"/>
                <w:kern w:val="0"/>
                <w:szCs w:val="21"/>
                <w:highlight w:val="none"/>
                <w:lang w:bidi="ar"/>
              </w:rPr>
              <w:t>可视化控制平台</w:t>
            </w:r>
          </w:p>
        </w:tc>
        <w:tc>
          <w:tcPr>
            <w:tcW w:w="487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tabs>
                <w:tab w:val="left" w:pos="312"/>
              </w:tabs>
              <w:spacing w:before="0" w:beforeAutospacing="0" w:after="0" w:afterAutospacing="0"/>
              <w:ind w:left="0" w:right="0"/>
              <w:jc w:val="left"/>
              <w:textAlignment w:val="center"/>
              <w:rPr>
                <w:rFonts w:hint="default" w:ascii="宋体" w:hAnsi="宋体" w:cs="宋体"/>
                <w:color w:val="auto"/>
                <w:kern w:val="0"/>
                <w:szCs w:val="21"/>
                <w:highlight w:val="none"/>
                <w:lang w:bidi="ar"/>
              </w:rPr>
            </w:pPr>
            <w:r>
              <w:rPr>
                <w:rFonts w:hint="eastAsia" w:ascii="宋体" w:hAnsi="宋体" w:cs="宋体"/>
                <w:color w:val="auto"/>
                <w:kern w:val="0"/>
                <w:szCs w:val="21"/>
                <w:highlight w:val="none"/>
                <w:lang w:bidi="ar"/>
              </w:rPr>
              <w:t>1.支持多控制端控制，如移动端、落地一体机等多种客户端操作实时同步</w:t>
            </w:r>
          </w:p>
          <w:p>
            <w:pPr>
              <w:keepNext w:val="0"/>
              <w:keepLines w:val="0"/>
              <w:widowControl/>
              <w:suppressLineNumbers w:val="0"/>
              <w:tabs>
                <w:tab w:val="left" w:pos="312"/>
              </w:tabs>
              <w:spacing w:before="0" w:beforeAutospacing="0" w:after="0" w:afterAutospacing="0"/>
              <w:ind w:left="0" w:right="0"/>
              <w:jc w:val="left"/>
              <w:textAlignment w:val="center"/>
              <w:rPr>
                <w:rFonts w:hint="default" w:ascii="宋体" w:hAnsi="宋体" w:cs="宋体"/>
                <w:color w:val="auto"/>
                <w:kern w:val="0"/>
                <w:szCs w:val="21"/>
                <w:highlight w:val="none"/>
                <w:lang w:bidi="ar"/>
              </w:rPr>
            </w:pPr>
            <w:r>
              <w:rPr>
                <w:rFonts w:hint="eastAsia" w:ascii="宋体" w:hAnsi="宋体" w:cs="宋体"/>
                <w:color w:val="auto"/>
                <w:kern w:val="0"/>
                <w:szCs w:val="21"/>
                <w:highlight w:val="none"/>
                <w:lang w:bidi="ar"/>
              </w:rPr>
              <w:t>2.支持多媒体播控服务器和自带播控系统的控制；实时可视化操作界面提升了播控服务器操作的便捷性及操作体验</w:t>
            </w:r>
          </w:p>
          <w:p>
            <w:pPr>
              <w:keepNext w:val="0"/>
              <w:keepLines w:val="0"/>
              <w:widowControl/>
              <w:suppressLineNumbers w:val="0"/>
              <w:spacing w:before="0" w:beforeAutospacing="0" w:after="0" w:afterAutospacing="0"/>
              <w:ind w:left="0" w:right="0"/>
              <w:jc w:val="left"/>
              <w:textAlignment w:val="center"/>
              <w:rPr>
                <w:rFonts w:hint="default" w:ascii="宋体" w:hAnsi="宋体" w:cs="宋体"/>
                <w:color w:val="auto"/>
                <w:kern w:val="0"/>
                <w:szCs w:val="21"/>
                <w:highlight w:val="none"/>
                <w:lang w:bidi="ar"/>
              </w:rPr>
            </w:pPr>
            <w:r>
              <w:rPr>
                <w:rFonts w:hint="eastAsia" w:ascii="宋体" w:hAnsi="宋体" w:cs="宋体"/>
                <w:color w:val="auto"/>
                <w:kern w:val="0"/>
                <w:szCs w:val="21"/>
                <w:highlight w:val="none"/>
                <w:lang w:bidi="ar"/>
              </w:rPr>
              <w:t>3.支持实时显示多媒体播控服务器的媒体素材、节目内容、输出画面，操作清晰、直观，提升现场控制的准确性和针对性</w:t>
            </w:r>
          </w:p>
          <w:p>
            <w:pPr>
              <w:keepNext w:val="0"/>
              <w:keepLines w:val="0"/>
              <w:widowControl/>
              <w:suppressLineNumbers w:val="0"/>
              <w:spacing w:before="0" w:beforeAutospacing="0" w:after="0" w:afterAutospacing="0"/>
              <w:ind w:left="0" w:right="0"/>
              <w:jc w:val="left"/>
              <w:textAlignment w:val="center"/>
              <w:rPr>
                <w:rFonts w:hint="default" w:ascii="宋体" w:hAnsi="宋体" w:cs="宋体"/>
                <w:color w:val="auto"/>
                <w:kern w:val="0"/>
                <w:szCs w:val="21"/>
                <w:highlight w:val="none"/>
                <w:lang w:bidi="ar"/>
              </w:rPr>
            </w:pPr>
            <w:r>
              <w:rPr>
                <w:rFonts w:hint="eastAsia" w:ascii="宋体" w:hAnsi="宋体" w:cs="宋体"/>
                <w:color w:val="auto"/>
                <w:kern w:val="0"/>
                <w:szCs w:val="21"/>
                <w:highlight w:val="none"/>
                <w:lang w:bidi="ar"/>
              </w:rPr>
              <w:t>4.支持播控服务器上的多媒体视频播放、暂停、停止、音量和播放进度控制，做到多媒体随心控制，方便现场应用</w:t>
            </w:r>
          </w:p>
          <w:p>
            <w:pPr>
              <w:keepNext w:val="0"/>
              <w:keepLines w:val="0"/>
              <w:widowControl/>
              <w:suppressLineNumbers w:val="0"/>
              <w:spacing w:before="0" w:beforeAutospacing="0" w:after="0" w:afterAutospacing="0"/>
              <w:ind w:left="0" w:right="0"/>
              <w:jc w:val="left"/>
              <w:textAlignment w:val="center"/>
              <w:rPr>
                <w:rFonts w:hint="default" w:ascii="宋体" w:hAnsi="宋体" w:cs="宋体"/>
                <w:color w:val="auto"/>
                <w:kern w:val="0"/>
                <w:szCs w:val="21"/>
                <w:highlight w:val="none"/>
                <w:lang w:bidi="ar"/>
              </w:rPr>
            </w:pPr>
            <w:r>
              <w:rPr>
                <w:rFonts w:hint="eastAsia" w:ascii="宋体" w:hAnsi="宋体" w:cs="宋体"/>
                <w:color w:val="auto"/>
                <w:kern w:val="0"/>
                <w:szCs w:val="21"/>
                <w:highlight w:val="none"/>
                <w:lang w:bidi="ar"/>
              </w:rPr>
              <w:t>5.支持播控服务器拖拽式媒体快速开图层、图层切换媒体素材、图层优先级调整（图层置顶、置底、上移一层和下移一层控制）</w:t>
            </w:r>
          </w:p>
          <w:p>
            <w:pPr>
              <w:keepNext w:val="0"/>
              <w:keepLines w:val="0"/>
              <w:widowControl/>
              <w:suppressLineNumbers w:val="0"/>
              <w:spacing w:before="0" w:beforeAutospacing="0" w:after="0" w:afterAutospacing="0"/>
              <w:ind w:left="0" w:right="0"/>
              <w:jc w:val="left"/>
              <w:textAlignment w:val="center"/>
              <w:rPr>
                <w:rFonts w:hint="default" w:ascii="宋体" w:hAnsi="宋体" w:cs="宋体"/>
                <w:b/>
                <w:color w:val="auto"/>
                <w:kern w:val="0"/>
                <w:szCs w:val="21"/>
                <w:highlight w:val="none"/>
                <w:lang w:bidi="ar"/>
              </w:rPr>
            </w:pPr>
            <w:r>
              <w:rPr>
                <w:rFonts w:hint="eastAsia" w:ascii="宋体" w:hAnsi="宋体" w:cs="宋体"/>
                <w:color w:val="auto"/>
                <w:kern w:val="0"/>
                <w:szCs w:val="21"/>
                <w:highlight w:val="none"/>
                <w:lang w:bidi="ar"/>
              </w:rPr>
              <w:t>6.▲支持对播控服务器播放的PPT进行翻页控制，满足PPT在移动设备和落地一体机上的控制需求。</w:t>
            </w:r>
            <w:r>
              <w:rPr>
                <w:rFonts w:hint="eastAsia" w:ascii="宋体" w:hAnsi="宋体" w:cs="宋体"/>
                <w:b/>
                <w:color w:val="auto"/>
                <w:kern w:val="0"/>
                <w:szCs w:val="21"/>
                <w:highlight w:val="none"/>
                <w:lang w:bidi="ar"/>
              </w:rPr>
              <w:t>（提供国家认可有检测资质的检测机构出具的检验报告复印件，加盖投标人单位公章，原件备查）</w:t>
            </w:r>
          </w:p>
          <w:p>
            <w:pPr>
              <w:keepNext w:val="0"/>
              <w:keepLines w:val="0"/>
              <w:widowControl/>
              <w:suppressLineNumbers w:val="0"/>
              <w:spacing w:before="0" w:beforeAutospacing="0" w:after="0" w:afterAutospacing="0"/>
              <w:ind w:left="0" w:right="0"/>
              <w:jc w:val="left"/>
              <w:textAlignment w:val="center"/>
              <w:rPr>
                <w:rFonts w:hint="default" w:ascii="宋体" w:hAnsi="宋体" w:cs="宋体"/>
                <w:color w:val="auto"/>
                <w:szCs w:val="21"/>
                <w:highlight w:val="none"/>
              </w:rPr>
            </w:pPr>
            <w:r>
              <w:rPr>
                <w:rFonts w:hint="eastAsia" w:ascii="宋体" w:hAnsi="宋体" w:cs="宋体"/>
                <w:color w:val="auto"/>
                <w:kern w:val="0"/>
                <w:szCs w:val="21"/>
                <w:highlight w:val="none"/>
                <w:lang w:bidi="ar"/>
              </w:rPr>
              <w:t>7.支持对灯光、窗帘、音频、电视、空调、配电柜、大屏和升降机等环境设备一键控制</w:t>
            </w:r>
          </w:p>
        </w:tc>
        <w:tc>
          <w:tcPr>
            <w:tcW w:w="99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default" w:ascii="宋体" w:hAnsi="宋体" w:cs="宋体"/>
                <w:color w:val="auto"/>
                <w:szCs w:val="21"/>
                <w:highlight w:val="none"/>
              </w:rPr>
            </w:pPr>
            <w:r>
              <w:rPr>
                <w:rFonts w:hint="eastAsia" w:ascii="宋体" w:hAnsi="宋体" w:cs="宋体"/>
                <w:color w:val="auto"/>
                <w:kern w:val="0"/>
                <w:szCs w:val="21"/>
                <w:highlight w:val="none"/>
                <w:lang w:bidi="ar"/>
              </w:rPr>
              <w:t>1</w:t>
            </w:r>
          </w:p>
        </w:tc>
        <w:tc>
          <w:tcPr>
            <w:tcW w:w="99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default" w:ascii="宋体" w:hAnsi="宋体" w:cs="宋体"/>
                <w:color w:val="auto"/>
                <w:szCs w:val="21"/>
                <w:highlight w:val="none"/>
              </w:rPr>
            </w:pPr>
            <w:r>
              <w:rPr>
                <w:rFonts w:hint="eastAsia" w:ascii="宋体" w:hAnsi="宋体" w:cs="宋体"/>
                <w:color w:val="auto"/>
                <w:kern w:val="0"/>
                <w:szCs w:val="21"/>
                <w:highlight w:val="none"/>
                <w:lang w:bidi="ar"/>
              </w:rPr>
              <w:t>套</w:t>
            </w:r>
          </w:p>
        </w:tc>
      </w:tr>
      <w:tr>
        <w:tblPrEx>
          <w:tblCellMar>
            <w:top w:w="0" w:type="dxa"/>
            <w:left w:w="108" w:type="dxa"/>
            <w:bottom w:w="0" w:type="dxa"/>
            <w:right w:w="108" w:type="dxa"/>
          </w:tblCellMar>
        </w:tblPrEx>
        <w:trPr>
          <w:trHeight w:val="944" w:hRule="atLeast"/>
        </w:trPr>
        <w:tc>
          <w:tcPr>
            <w:tcW w:w="53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default" w:ascii="宋体" w:hAnsi="宋体" w:cs="宋体"/>
                <w:color w:val="auto"/>
                <w:szCs w:val="21"/>
                <w:highlight w:val="none"/>
              </w:rPr>
            </w:pPr>
            <w:r>
              <w:rPr>
                <w:rFonts w:hint="eastAsia" w:ascii="宋体" w:hAnsi="宋体" w:cs="宋体"/>
                <w:color w:val="auto"/>
                <w:kern w:val="0"/>
                <w:szCs w:val="21"/>
                <w:highlight w:val="none"/>
                <w:lang w:bidi="ar"/>
              </w:rPr>
              <w:t>11</w:t>
            </w:r>
          </w:p>
        </w:tc>
        <w:tc>
          <w:tcPr>
            <w:tcW w:w="158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default" w:ascii="宋体" w:hAnsi="宋体" w:cs="宋体"/>
                <w:color w:val="auto"/>
                <w:szCs w:val="21"/>
                <w:highlight w:val="none"/>
              </w:rPr>
            </w:pPr>
            <w:r>
              <w:rPr>
                <w:rFonts w:hint="eastAsia" w:ascii="宋体" w:hAnsi="宋体" w:cs="宋体"/>
                <w:color w:val="auto"/>
                <w:kern w:val="0"/>
                <w:szCs w:val="21"/>
                <w:highlight w:val="none"/>
                <w:lang w:bidi="ar"/>
              </w:rPr>
              <w:t>智能配电系统</w:t>
            </w:r>
          </w:p>
        </w:tc>
        <w:tc>
          <w:tcPr>
            <w:tcW w:w="487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default" w:ascii="宋体" w:hAnsi="宋体" w:cs="宋体"/>
                <w:color w:val="auto"/>
                <w:kern w:val="0"/>
                <w:szCs w:val="21"/>
                <w:highlight w:val="none"/>
                <w:lang w:bidi="ar"/>
              </w:rPr>
            </w:pPr>
            <w:r>
              <w:rPr>
                <w:rFonts w:hint="eastAsia" w:ascii="宋体" w:hAnsi="宋体" w:cs="宋体"/>
                <w:color w:val="auto"/>
                <w:kern w:val="0"/>
                <w:szCs w:val="21"/>
                <w:highlight w:val="none"/>
                <w:lang w:bidi="ar"/>
              </w:rPr>
              <w:t>1.配电柜内具有过流、过压、短路、断路、超负荷、断电等保护功能</w:t>
            </w:r>
          </w:p>
          <w:p>
            <w:pPr>
              <w:keepNext w:val="0"/>
              <w:keepLines w:val="0"/>
              <w:suppressLineNumbers w:val="0"/>
              <w:spacing w:before="0" w:beforeAutospacing="0" w:after="0" w:afterAutospacing="0" w:line="360" w:lineRule="auto"/>
              <w:ind w:left="0" w:right="0"/>
              <w:rPr>
                <w:rFonts w:hint="default" w:ascii="宋体" w:hAnsi="宋体" w:cs="宋体"/>
                <w:b/>
                <w:color w:val="auto"/>
                <w:szCs w:val="21"/>
                <w:highlight w:val="none"/>
              </w:rPr>
            </w:pPr>
            <w:r>
              <w:rPr>
                <w:rFonts w:hint="eastAsia" w:ascii="宋体" w:hAnsi="宋体" w:cs="宋体"/>
                <w:color w:val="auto"/>
                <w:kern w:val="0"/>
                <w:szCs w:val="21"/>
                <w:highlight w:val="none"/>
                <w:lang w:bidi="ar"/>
              </w:rPr>
              <w:t>2.内含空气开关、电源模块、通讯网关</w:t>
            </w:r>
          </w:p>
        </w:tc>
        <w:tc>
          <w:tcPr>
            <w:tcW w:w="99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default" w:ascii="宋体" w:hAnsi="宋体" w:cs="宋体"/>
                <w:color w:val="auto"/>
                <w:szCs w:val="21"/>
                <w:highlight w:val="none"/>
              </w:rPr>
            </w:pPr>
            <w:r>
              <w:rPr>
                <w:rFonts w:hint="eastAsia" w:ascii="宋体" w:hAnsi="宋体" w:cs="宋体"/>
                <w:color w:val="auto"/>
                <w:kern w:val="0"/>
                <w:szCs w:val="21"/>
                <w:highlight w:val="none"/>
                <w:lang w:bidi="ar"/>
              </w:rPr>
              <w:t>1</w:t>
            </w:r>
          </w:p>
        </w:tc>
        <w:tc>
          <w:tcPr>
            <w:tcW w:w="99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default" w:ascii="宋体" w:hAnsi="宋体" w:cs="宋体"/>
                <w:color w:val="auto"/>
                <w:szCs w:val="21"/>
                <w:highlight w:val="none"/>
              </w:rPr>
            </w:pPr>
            <w:r>
              <w:rPr>
                <w:rFonts w:hint="eastAsia" w:ascii="宋体" w:hAnsi="宋体" w:cs="宋体"/>
                <w:color w:val="auto"/>
                <w:kern w:val="0"/>
                <w:szCs w:val="21"/>
                <w:highlight w:val="none"/>
                <w:lang w:bidi="ar"/>
              </w:rPr>
              <w:t>套</w:t>
            </w:r>
          </w:p>
        </w:tc>
      </w:tr>
      <w:tr>
        <w:tblPrEx>
          <w:tblCellMar>
            <w:top w:w="0" w:type="dxa"/>
            <w:left w:w="108" w:type="dxa"/>
            <w:bottom w:w="0" w:type="dxa"/>
            <w:right w:w="108" w:type="dxa"/>
          </w:tblCellMar>
        </w:tblPrEx>
        <w:trPr>
          <w:trHeight w:val="944" w:hRule="atLeast"/>
        </w:trPr>
        <w:tc>
          <w:tcPr>
            <w:tcW w:w="53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default" w:ascii="宋体" w:hAnsi="宋体" w:cs="宋体"/>
                <w:color w:val="auto"/>
                <w:kern w:val="0"/>
                <w:szCs w:val="21"/>
                <w:highlight w:val="none"/>
                <w:lang w:bidi="ar"/>
              </w:rPr>
            </w:pPr>
            <w:r>
              <w:rPr>
                <w:rFonts w:hint="eastAsia" w:ascii="宋体" w:hAnsi="宋体" w:cs="宋体"/>
                <w:color w:val="auto"/>
                <w:kern w:val="0"/>
                <w:szCs w:val="21"/>
                <w:highlight w:val="none"/>
                <w:lang w:bidi="ar"/>
              </w:rPr>
              <w:t>12</w:t>
            </w:r>
          </w:p>
        </w:tc>
        <w:tc>
          <w:tcPr>
            <w:tcW w:w="158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default" w:ascii="宋体" w:hAnsi="宋体" w:cs="宋体"/>
                <w:color w:val="auto"/>
                <w:kern w:val="0"/>
                <w:szCs w:val="21"/>
                <w:highlight w:val="none"/>
                <w:lang w:bidi="ar"/>
              </w:rPr>
            </w:pPr>
            <w:r>
              <w:rPr>
                <w:rFonts w:hint="eastAsia" w:ascii="宋体" w:hAnsi="宋体" w:cs="宋体"/>
                <w:color w:val="auto"/>
                <w:kern w:val="0"/>
                <w:szCs w:val="21"/>
                <w:highlight w:val="none"/>
                <w:lang w:bidi="ar"/>
              </w:rPr>
              <w:t>多功能电源时序器</w:t>
            </w:r>
          </w:p>
        </w:tc>
        <w:tc>
          <w:tcPr>
            <w:tcW w:w="487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default" w:ascii="宋体" w:hAnsi="宋体" w:cs="宋体"/>
                <w:color w:val="auto"/>
                <w:kern w:val="0"/>
                <w:szCs w:val="21"/>
                <w:highlight w:val="none"/>
                <w:lang w:bidi="ar"/>
              </w:rPr>
            </w:pPr>
            <w:r>
              <w:rPr>
                <w:rFonts w:hint="eastAsia" w:ascii="宋体" w:hAnsi="宋体" w:cs="宋体"/>
                <w:color w:val="auto"/>
                <w:kern w:val="0"/>
                <w:szCs w:val="21"/>
                <w:highlight w:val="none"/>
                <w:lang w:bidi="ar"/>
              </w:rPr>
              <w:t>▲1.≥2寸彩屏</w:t>
            </w:r>
            <w:r>
              <w:rPr>
                <w:rFonts w:hint="eastAsia" w:ascii="宋体" w:hAnsi="宋体" w:cs="宋体"/>
                <w:color w:val="auto"/>
                <w:kern w:val="0"/>
                <w:szCs w:val="21"/>
                <w:highlight w:val="none"/>
                <w:lang w:eastAsia="zh-CN" w:bidi="ar"/>
              </w:rPr>
              <w:t>，</w:t>
            </w:r>
            <w:r>
              <w:rPr>
                <w:rFonts w:hint="eastAsia" w:ascii="宋体" w:hAnsi="宋体" w:cs="宋体"/>
                <w:color w:val="auto"/>
                <w:kern w:val="0"/>
                <w:szCs w:val="21"/>
                <w:highlight w:val="none"/>
                <w:lang w:bidi="ar"/>
              </w:rPr>
              <w:t>显示电压，日期，时间，通道状态。</w:t>
            </w:r>
            <w:r>
              <w:rPr>
                <w:rFonts w:hint="eastAsia" w:ascii="宋体" w:hAnsi="宋体" w:cs="宋体"/>
                <w:b/>
                <w:color w:val="auto"/>
                <w:kern w:val="0"/>
                <w:szCs w:val="21"/>
                <w:highlight w:val="none"/>
                <w:lang w:bidi="ar"/>
              </w:rPr>
              <w:t>（提供国家认可有检测资质的检测机构出具的检验报告复印件，加盖投标人单位公章，原件备查）</w:t>
            </w:r>
          </w:p>
          <w:p>
            <w:pPr>
              <w:keepNext w:val="0"/>
              <w:keepLines w:val="0"/>
              <w:widowControl/>
              <w:suppressLineNumbers w:val="0"/>
              <w:spacing w:before="0" w:beforeAutospacing="0" w:after="0" w:afterAutospacing="0"/>
              <w:ind w:left="0" w:right="0"/>
              <w:jc w:val="left"/>
              <w:textAlignment w:val="center"/>
              <w:rPr>
                <w:rFonts w:hint="default" w:ascii="宋体" w:hAnsi="宋体" w:cs="宋体"/>
                <w:color w:val="auto"/>
                <w:kern w:val="0"/>
                <w:szCs w:val="21"/>
                <w:highlight w:val="none"/>
                <w:lang w:bidi="ar"/>
              </w:rPr>
            </w:pPr>
            <w:r>
              <w:rPr>
                <w:rFonts w:hint="eastAsia" w:ascii="宋体" w:hAnsi="宋体" w:cs="宋体"/>
                <w:color w:val="auto"/>
                <w:kern w:val="0"/>
                <w:szCs w:val="21"/>
                <w:highlight w:val="none"/>
                <w:lang w:bidi="ar"/>
              </w:rPr>
              <w:t>2.可顺序开启逆序关闭</w:t>
            </w:r>
          </w:p>
          <w:p>
            <w:pPr>
              <w:keepNext w:val="0"/>
              <w:keepLines w:val="0"/>
              <w:widowControl/>
              <w:suppressLineNumbers w:val="0"/>
              <w:spacing w:before="0" w:beforeAutospacing="0" w:after="0" w:afterAutospacing="0"/>
              <w:ind w:left="0" w:right="0"/>
              <w:jc w:val="left"/>
              <w:textAlignment w:val="center"/>
              <w:rPr>
                <w:rFonts w:hint="default" w:ascii="宋体" w:hAnsi="宋体" w:cs="宋体"/>
                <w:color w:val="auto"/>
                <w:kern w:val="0"/>
                <w:szCs w:val="21"/>
                <w:highlight w:val="none"/>
                <w:lang w:bidi="ar"/>
              </w:rPr>
            </w:pPr>
            <w:r>
              <w:rPr>
                <w:rFonts w:hint="eastAsia" w:ascii="宋体" w:hAnsi="宋体" w:cs="宋体"/>
                <w:color w:val="auto"/>
                <w:kern w:val="0"/>
                <w:szCs w:val="21"/>
                <w:highlight w:val="none"/>
                <w:lang w:bidi="ar"/>
              </w:rPr>
              <w:t>3.具备RS232 COM口，可接受中控控制</w:t>
            </w:r>
          </w:p>
          <w:p>
            <w:pPr>
              <w:keepNext w:val="0"/>
              <w:keepLines w:val="0"/>
              <w:widowControl/>
              <w:suppressLineNumbers w:val="0"/>
              <w:spacing w:before="0" w:beforeAutospacing="0" w:after="0" w:afterAutospacing="0"/>
              <w:ind w:left="0" w:right="0"/>
              <w:jc w:val="left"/>
              <w:textAlignment w:val="center"/>
              <w:rPr>
                <w:rFonts w:hint="default" w:ascii="宋体" w:hAnsi="宋体" w:cs="宋体"/>
                <w:color w:val="auto"/>
                <w:kern w:val="0"/>
                <w:szCs w:val="21"/>
                <w:highlight w:val="none"/>
                <w:lang w:bidi="ar"/>
              </w:rPr>
            </w:pPr>
            <w:r>
              <w:rPr>
                <w:rFonts w:hint="eastAsia" w:ascii="宋体" w:hAnsi="宋体" w:cs="宋体"/>
                <w:color w:val="auto"/>
                <w:kern w:val="0"/>
                <w:szCs w:val="21"/>
                <w:highlight w:val="none"/>
                <w:lang w:bidi="ar"/>
              </w:rPr>
              <w:t>4.各路开关时间间隔可调</w:t>
            </w:r>
          </w:p>
          <w:p>
            <w:pPr>
              <w:keepNext w:val="0"/>
              <w:keepLines w:val="0"/>
              <w:widowControl/>
              <w:suppressLineNumbers w:val="0"/>
              <w:spacing w:before="0" w:beforeAutospacing="0" w:after="0" w:afterAutospacing="0"/>
              <w:ind w:left="0" w:right="0"/>
              <w:jc w:val="left"/>
              <w:textAlignment w:val="center"/>
              <w:rPr>
                <w:rFonts w:hint="default" w:ascii="宋体" w:hAnsi="宋体" w:cs="宋体"/>
                <w:color w:val="auto"/>
                <w:kern w:val="0"/>
                <w:szCs w:val="21"/>
                <w:highlight w:val="none"/>
                <w:lang w:bidi="ar"/>
              </w:rPr>
            </w:pPr>
            <w:r>
              <w:rPr>
                <w:rFonts w:hint="eastAsia" w:ascii="宋体" w:hAnsi="宋体" w:cs="宋体"/>
                <w:color w:val="auto"/>
                <w:kern w:val="0"/>
                <w:szCs w:val="21"/>
                <w:highlight w:val="none"/>
                <w:lang w:bidi="ar"/>
              </w:rPr>
              <w:t>5.主机需支持级联叠机ID:0-255，级联时状态自动检测并设置；</w:t>
            </w:r>
          </w:p>
          <w:p>
            <w:pPr>
              <w:keepNext w:val="0"/>
              <w:keepLines w:val="0"/>
              <w:widowControl/>
              <w:suppressLineNumbers w:val="0"/>
              <w:spacing w:before="0" w:beforeAutospacing="0" w:after="0" w:afterAutospacing="0"/>
              <w:ind w:left="0" w:right="0"/>
              <w:jc w:val="left"/>
              <w:textAlignment w:val="center"/>
              <w:rPr>
                <w:rFonts w:hint="default" w:ascii="宋体" w:hAnsi="宋体" w:cs="宋体"/>
                <w:color w:val="auto"/>
                <w:kern w:val="0"/>
                <w:szCs w:val="21"/>
                <w:highlight w:val="none"/>
                <w:lang w:bidi="ar"/>
              </w:rPr>
            </w:pPr>
            <w:r>
              <w:rPr>
                <w:rFonts w:hint="eastAsia" w:ascii="宋体" w:hAnsi="宋体" w:cs="宋体"/>
                <w:color w:val="auto"/>
                <w:kern w:val="0"/>
                <w:szCs w:val="21"/>
                <w:highlight w:val="none"/>
                <w:lang w:bidi="ar"/>
              </w:rPr>
              <w:t>6.需支持定时开关机功能，内置时钟芯片，可根据日期时间设定，无需人工操作</w:t>
            </w:r>
          </w:p>
          <w:p>
            <w:pPr>
              <w:keepNext w:val="0"/>
              <w:keepLines w:val="0"/>
              <w:widowControl/>
              <w:suppressLineNumbers w:val="0"/>
              <w:spacing w:before="0" w:beforeAutospacing="0" w:after="0" w:afterAutospacing="0"/>
              <w:ind w:left="0" w:right="0"/>
              <w:jc w:val="left"/>
              <w:textAlignment w:val="center"/>
              <w:rPr>
                <w:rFonts w:hint="default" w:ascii="宋体" w:hAnsi="宋体" w:cs="宋体"/>
                <w:color w:val="auto"/>
                <w:kern w:val="0"/>
                <w:szCs w:val="21"/>
                <w:highlight w:val="none"/>
                <w:lang w:bidi="ar"/>
              </w:rPr>
            </w:pPr>
            <w:r>
              <w:rPr>
                <w:rFonts w:hint="eastAsia" w:ascii="宋体" w:hAnsi="宋体" w:cs="宋体"/>
                <w:color w:val="auto"/>
                <w:kern w:val="0"/>
                <w:szCs w:val="21"/>
                <w:highlight w:val="none"/>
                <w:lang w:bidi="ar"/>
              </w:rPr>
              <w:t>7.主机需支持面板通道独立关闭功能；</w:t>
            </w:r>
          </w:p>
          <w:p>
            <w:pPr>
              <w:keepNext w:val="0"/>
              <w:keepLines w:val="0"/>
              <w:widowControl/>
              <w:suppressLineNumbers w:val="0"/>
              <w:spacing w:before="0" w:beforeAutospacing="0" w:after="0" w:afterAutospacing="0"/>
              <w:ind w:left="0" w:right="0"/>
              <w:jc w:val="left"/>
              <w:textAlignment w:val="center"/>
              <w:rPr>
                <w:rFonts w:hint="default" w:ascii="宋体" w:hAnsi="宋体" w:cs="宋体"/>
                <w:color w:val="auto"/>
                <w:kern w:val="0"/>
                <w:szCs w:val="21"/>
                <w:highlight w:val="none"/>
                <w:lang w:bidi="ar"/>
              </w:rPr>
            </w:pPr>
            <w:r>
              <w:rPr>
                <w:rFonts w:hint="eastAsia" w:ascii="宋体" w:hAnsi="宋体" w:cs="宋体"/>
                <w:color w:val="auto"/>
                <w:kern w:val="0"/>
                <w:szCs w:val="21"/>
                <w:highlight w:val="none"/>
                <w:lang w:bidi="ar"/>
              </w:rPr>
              <w:t>▲8.支持可选配电源净化功能（EMI专业电网滤波器），支持欠压，过压检测报警关闭，支持面板LOCK锁定功能。</w:t>
            </w:r>
            <w:r>
              <w:rPr>
                <w:rFonts w:hint="eastAsia" w:ascii="宋体" w:hAnsi="宋体" w:cs="宋体"/>
                <w:b/>
                <w:color w:val="auto"/>
                <w:kern w:val="0"/>
                <w:szCs w:val="21"/>
                <w:highlight w:val="none"/>
                <w:lang w:bidi="ar"/>
              </w:rPr>
              <w:t>（提供国家认可有检测资质的检测机构出具的检验报告复印件，加盖投标人单位公章，原件备查）</w:t>
            </w:r>
            <w:r>
              <w:rPr>
                <w:rFonts w:hint="eastAsia" w:ascii="宋体" w:hAnsi="宋体" w:cs="宋体"/>
                <w:color w:val="auto"/>
                <w:kern w:val="0"/>
                <w:szCs w:val="21"/>
                <w:highlight w:val="none"/>
                <w:lang w:bidi="ar"/>
              </w:rPr>
              <w:t>；</w:t>
            </w:r>
          </w:p>
          <w:p>
            <w:pPr>
              <w:keepNext w:val="0"/>
              <w:keepLines w:val="0"/>
              <w:widowControl/>
              <w:suppressLineNumbers w:val="0"/>
              <w:spacing w:before="0" w:beforeAutospacing="0" w:after="0" w:afterAutospacing="0"/>
              <w:ind w:left="0" w:right="0"/>
              <w:jc w:val="left"/>
              <w:textAlignment w:val="center"/>
              <w:rPr>
                <w:rFonts w:hint="default" w:ascii="宋体" w:hAnsi="宋体" w:cs="宋体"/>
                <w:color w:val="auto"/>
                <w:kern w:val="0"/>
                <w:szCs w:val="21"/>
                <w:highlight w:val="none"/>
                <w:lang w:bidi="ar"/>
              </w:rPr>
            </w:pPr>
            <w:r>
              <w:rPr>
                <w:rFonts w:hint="eastAsia" w:ascii="宋体" w:hAnsi="宋体" w:cs="宋体"/>
                <w:color w:val="auto"/>
                <w:kern w:val="0"/>
                <w:szCs w:val="21"/>
                <w:highlight w:val="none"/>
                <w:lang w:bidi="ar"/>
              </w:rPr>
              <w:t>▲9.主机需具备≥10组设备开关场景数据保存/调用，场景管理应用简单便捷。</w:t>
            </w:r>
            <w:r>
              <w:rPr>
                <w:rFonts w:hint="eastAsia" w:ascii="宋体" w:hAnsi="宋体" w:cs="宋体"/>
                <w:b/>
                <w:color w:val="auto"/>
                <w:kern w:val="0"/>
                <w:szCs w:val="21"/>
                <w:highlight w:val="none"/>
                <w:lang w:bidi="ar"/>
              </w:rPr>
              <w:t>（提供国家认可有检测资质的检测机构出具的检验报告复印件，加盖投标人单位公章，原件备查）</w:t>
            </w:r>
          </w:p>
        </w:tc>
        <w:tc>
          <w:tcPr>
            <w:tcW w:w="99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default" w:ascii="宋体" w:hAnsi="宋体" w:cs="宋体"/>
                <w:color w:val="auto"/>
                <w:kern w:val="0"/>
                <w:szCs w:val="21"/>
                <w:highlight w:val="none"/>
                <w:lang w:bidi="ar"/>
              </w:rPr>
            </w:pPr>
            <w:r>
              <w:rPr>
                <w:rFonts w:hint="eastAsia" w:ascii="宋体" w:hAnsi="宋体" w:cs="宋体"/>
                <w:color w:val="auto"/>
                <w:kern w:val="0"/>
                <w:szCs w:val="21"/>
                <w:highlight w:val="none"/>
                <w:lang w:bidi="ar"/>
              </w:rPr>
              <w:t>1</w:t>
            </w:r>
          </w:p>
        </w:tc>
        <w:tc>
          <w:tcPr>
            <w:tcW w:w="99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default" w:ascii="宋体" w:hAnsi="宋体" w:cs="宋体"/>
                <w:color w:val="auto"/>
                <w:kern w:val="0"/>
                <w:szCs w:val="21"/>
                <w:highlight w:val="none"/>
                <w:lang w:bidi="ar"/>
              </w:rPr>
            </w:pPr>
            <w:r>
              <w:rPr>
                <w:rFonts w:hint="eastAsia" w:ascii="宋体" w:hAnsi="宋体" w:cs="宋体"/>
                <w:color w:val="auto"/>
                <w:kern w:val="0"/>
                <w:szCs w:val="21"/>
                <w:highlight w:val="none"/>
                <w:lang w:bidi="ar"/>
              </w:rPr>
              <w:t>套</w:t>
            </w:r>
          </w:p>
        </w:tc>
      </w:tr>
      <w:tr>
        <w:tblPrEx>
          <w:tblCellMar>
            <w:top w:w="0" w:type="dxa"/>
            <w:left w:w="108" w:type="dxa"/>
            <w:bottom w:w="0" w:type="dxa"/>
            <w:right w:w="108" w:type="dxa"/>
          </w:tblCellMar>
        </w:tblPrEx>
        <w:trPr>
          <w:trHeight w:val="132" w:hRule="atLeast"/>
        </w:trPr>
        <w:tc>
          <w:tcPr>
            <w:tcW w:w="53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default" w:ascii="宋体" w:hAnsi="宋体" w:cs="宋体"/>
                <w:color w:val="auto"/>
                <w:kern w:val="0"/>
                <w:szCs w:val="21"/>
                <w:highlight w:val="none"/>
                <w:lang w:bidi="ar"/>
              </w:rPr>
            </w:pPr>
            <w:r>
              <w:rPr>
                <w:rFonts w:hint="eastAsia" w:ascii="宋体" w:hAnsi="宋体" w:cs="宋体"/>
                <w:color w:val="auto"/>
                <w:kern w:val="0"/>
                <w:szCs w:val="21"/>
                <w:highlight w:val="none"/>
                <w:lang w:bidi="ar"/>
              </w:rPr>
              <w:t>13</w:t>
            </w:r>
          </w:p>
        </w:tc>
        <w:tc>
          <w:tcPr>
            <w:tcW w:w="158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default" w:ascii="宋体" w:hAnsi="宋体" w:cs="宋体"/>
                <w:color w:val="auto"/>
                <w:kern w:val="0"/>
                <w:szCs w:val="21"/>
                <w:highlight w:val="none"/>
                <w:lang w:bidi="ar"/>
              </w:rPr>
            </w:pPr>
            <w:r>
              <w:rPr>
                <w:rFonts w:hint="eastAsia" w:ascii="宋体" w:hAnsi="宋体" w:cs="宋体"/>
                <w:color w:val="auto"/>
                <w:kern w:val="0"/>
                <w:szCs w:val="21"/>
                <w:highlight w:val="none"/>
                <w:lang w:bidi="ar"/>
              </w:rPr>
              <w:t>智慧拓展服务器</w:t>
            </w:r>
          </w:p>
        </w:tc>
        <w:tc>
          <w:tcPr>
            <w:tcW w:w="487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default" w:ascii="宋体" w:hAnsi="宋体" w:cs="宋体"/>
                <w:color w:val="auto"/>
                <w:kern w:val="0"/>
                <w:szCs w:val="21"/>
                <w:highlight w:val="none"/>
                <w:lang w:bidi="ar"/>
              </w:rPr>
            </w:pPr>
            <w:r>
              <w:rPr>
                <w:rFonts w:hint="eastAsia" w:ascii="宋体" w:hAnsi="宋体" w:cs="宋体"/>
                <w:color w:val="auto"/>
                <w:kern w:val="0"/>
                <w:szCs w:val="21"/>
                <w:highlight w:val="none"/>
                <w:lang w:bidi="ar"/>
              </w:rPr>
              <w:t>1、系统需为B/S架构，无需安装任何程序通过任意公网浏览器直接登录账号，即可进行系统控制，支持windows，linux，mac，android,iOS等各操作系统；</w:t>
            </w:r>
          </w:p>
          <w:p>
            <w:pPr>
              <w:keepNext w:val="0"/>
              <w:keepLines w:val="0"/>
              <w:widowControl/>
              <w:suppressLineNumbers w:val="0"/>
              <w:spacing w:before="0" w:beforeAutospacing="0" w:after="0" w:afterAutospacing="0"/>
              <w:ind w:left="0" w:right="0"/>
              <w:jc w:val="left"/>
              <w:textAlignment w:val="center"/>
              <w:rPr>
                <w:rFonts w:hint="default" w:ascii="宋体" w:hAnsi="宋体" w:cs="宋体"/>
                <w:color w:val="auto"/>
                <w:kern w:val="0"/>
                <w:szCs w:val="21"/>
                <w:highlight w:val="none"/>
                <w:lang w:bidi="ar"/>
              </w:rPr>
            </w:pPr>
            <w:r>
              <w:rPr>
                <w:rFonts w:hint="eastAsia" w:ascii="宋体" w:hAnsi="宋体" w:cs="宋体"/>
                <w:color w:val="auto"/>
                <w:kern w:val="0"/>
                <w:szCs w:val="21"/>
                <w:highlight w:val="none"/>
                <w:lang w:bidi="ar"/>
              </w:rPr>
              <w:t>2、支持数据分析概览，显示设备在线情况、支持显示终端位置、实时工作状态等；</w:t>
            </w:r>
          </w:p>
          <w:p>
            <w:pPr>
              <w:keepNext w:val="0"/>
              <w:keepLines w:val="0"/>
              <w:widowControl/>
              <w:suppressLineNumbers w:val="0"/>
              <w:spacing w:before="0" w:beforeAutospacing="0" w:after="0" w:afterAutospacing="0"/>
              <w:ind w:left="0" w:right="0"/>
              <w:jc w:val="left"/>
              <w:textAlignment w:val="center"/>
              <w:rPr>
                <w:rFonts w:hint="default" w:ascii="宋体" w:hAnsi="宋体" w:cs="宋体"/>
                <w:color w:val="auto"/>
                <w:kern w:val="0"/>
                <w:szCs w:val="21"/>
                <w:highlight w:val="none"/>
                <w:lang w:bidi="ar"/>
              </w:rPr>
            </w:pPr>
            <w:r>
              <w:rPr>
                <w:rFonts w:hint="eastAsia" w:ascii="宋体" w:hAnsi="宋体" w:cs="宋体"/>
                <w:color w:val="auto"/>
                <w:kern w:val="0"/>
                <w:szCs w:val="21"/>
                <w:highlight w:val="none"/>
                <w:lang w:bidi="ar"/>
              </w:rPr>
              <w:t>▲3、系统通过web端对设备定时播放媒体管理里面上传的文本文件，音频音乐文件，录音节目等进行播放；支持电脑本地话筒寻呼，一台电脑即可完成操作。</w:t>
            </w:r>
            <w:r>
              <w:rPr>
                <w:rFonts w:hint="eastAsia" w:ascii="宋体" w:hAnsi="宋体" w:cs="宋体"/>
                <w:b/>
                <w:bCs/>
                <w:color w:val="auto"/>
                <w:kern w:val="0"/>
                <w:szCs w:val="21"/>
                <w:highlight w:val="none"/>
                <w:lang w:bidi="ar"/>
              </w:rPr>
              <w:t>（提供软件操作界面截图，文字标注予以佐证）</w:t>
            </w:r>
          </w:p>
          <w:p>
            <w:pPr>
              <w:keepNext w:val="0"/>
              <w:keepLines w:val="0"/>
              <w:widowControl/>
              <w:numPr>
                <w:ilvl w:val="0"/>
                <w:numId w:val="8"/>
              </w:numPr>
              <w:suppressLineNumbers w:val="0"/>
              <w:spacing w:before="0" w:beforeAutospacing="0" w:after="0" w:afterAutospacing="0"/>
              <w:ind w:left="0" w:right="0"/>
              <w:jc w:val="left"/>
              <w:textAlignment w:val="center"/>
              <w:rPr>
                <w:rFonts w:hint="default" w:ascii="宋体" w:hAnsi="宋体" w:cs="宋体"/>
                <w:color w:val="auto"/>
                <w:kern w:val="0"/>
                <w:szCs w:val="21"/>
                <w:highlight w:val="none"/>
                <w:lang w:bidi="ar"/>
              </w:rPr>
            </w:pPr>
            <w:r>
              <w:rPr>
                <w:rFonts w:hint="eastAsia" w:ascii="宋体" w:hAnsi="宋体" w:cs="宋体"/>
                <w:color w:val="auto"/>
                <w:kern w:val="0"/>
                <w:szCs w:val="21"/>
                <w:highlight w:val="none"/>
                <w:lang w:bidi="ar"/>
              </w:rPr>
              <w:t>系统日志功能：账号登录日志、播控日志、操作日志、播放记录，播放内容记录等</w:t>
            </w:r>
          </w:p>
          <w:p>
            <w:pPr>
              <w:keepNext w:val="0"/>
              <w:keepLines w:val="0"/>
              <w:widowControl/>
              <w:suppressLineNumbers w:val="0"/>
              <w:spacing w:before="0" w:beforeAutospacing="0" w:after="0" w:afterAutospacing="0"/>
              <w:ind w:left="0" w:right="0"/>
              <w:jc w:val="left"/>
              <w:textAlignment w:val="center"/>
              <w:rPr>
                <w:rFonts w:hint="default" w:ascii="宋体" w:hAnsi="宋体" w:cs="宋体"/>
                <w:color w:val="auto"/>
                <w:kern w:val="0"/>
                <w:szCs w:val="21"/>
                <w:highlight w:val="none"/>
                <w:lang w:bidi="ar"/>
              </w:rPr>
            </w:pPr>
            <w:r>
              <w:rPr>
                <w:rFonts w:hint="eastAsia" w:ascii="宋体" w:hAnsi="宋体" w:cs="宋体"/>
                <w:color w:val="auto"/>
                <w:kern w:val="0"/>
                <w:szCs w:val="21"/>
                <w:highlight w:val="none"/>
                <w:lang w:bidi="ar"/>
              </w:rPr>
              <w:t>5、系统多种场景模式下（应急消防）一键报警疏散（应急广播及扬声器报警）；</w:t>
            </w:r>
          </w:p>
          <w:p>
            <w:pPr>
              <w:keepNext w:val="0"/>
              <w:keepLines w:val="0"/>
              <w:widowControl/>
              <w:suppressLineNumbers w:val="0"/>
              <w:spacing w:before="0" w:beforeAutospacing="0" w:after="0" w:afterAutospacing="0"/>
              <w:ind w:left="0" w:right="0"/>
              <w:jc w:val="left"/>
              <w:textAlignment w:val="center"/>
              <w:rPr>
                <w:rFonts w:hint="default" w:ascii="宋体" w:hAnsi="宋体" w:cs="宋体"/>
                <w:color w:val="auto"/>
                <w:kern w:val="0"/>
                <w:szCs w:val="21"/>
                <w:highlight w:val="none"/>
                <w:lang w:bidi="ar"/>
              </w:rPr>
            </w:pPr>
            <w:r>
              <w:rPr>
                <w:rFonts w:hint="eastAsia" w:ascii="宋体" w:hAnsi="宋体" w:cs="宋体"/>
                <w:color w:val="auto"/>
                <w:kern w:val="0"/>
                <w:szCs w:val="21"/>
                <w:highlight w:val="none"/>
                <w:lang w:bidi="ar"/>
              </w:rPr>
              <w:t>▲6、可自定义角色权限与用户等级，方便用户管理与区分用户等级，不同权限的用户登录系统后仅具备其权限范围内的工作能力</w:t>
            </w:r>
            <w:r>
              <w:rPr>
                <w:rFonts w:hint="eastAsia" w:ascii="宋体" w:hAnsi="宋体" w:cs="宋体"/>
                <w:b/>
                <w:bCs/>
                <w:color w:val="auto"/>
                <w:kern w:val="0"/>
                <w:szCs w:val="21"/>
                <w:highlight w:val="none"/>
                <w:lang w:bidi="ar"/>
              </w:rPr>
              <w:t>（提供软件操作界面截图，文字标注予以佐证）</w:t>
            </w:r>
            <w:r>
              <w:rPr>
                <w:rFonts w:hint="eastAsia" w:ascii="宋体" w:hAnsi="宋体" w:cs="宋体"/>
                <w:color w:val="auto"/>
                <w:kern w:val="0"/>
                <w:szCs w:val="21"/>
                <w:highlight w:val="none"/>
                <w:lang w:bidi="ar"/>
              </w:rPr>
              <w:t>；</w:t>
            </w:r>
          </w:p>
          <w:p>
            <w:pPr>
              <w:keepNext w:val="0"/>
              <w:keepLines w:val="0"/>
              <w:widowControl/>
              <w:suppressLineNumbers w:val="0"/>
              <w:spacing w:before="0" w:beforeAutospacing="0" w:after="0" w:afterAutospacing="0"/>
              <w:ind w:left="0" w:right="0"/>
              <w:jc w:val="left"/>
              <w:textAlignment w:val="center"/>
              <w:rPr>
                <w:rFonts w:hint="default" w:ascii="宋体" w:hAnsi="宋体" w:cs="宋体"/>
                <w:color w:val="auto"/>
                <w:kern w:val="0"/>
                <w:szCs w:val="21"/>
                <w:highlight w:val="none"/>
                <w:lang w:bidi="ar"/>
              </w:rPr>
            </w:pPr>
            <w:r>
              <w:rPr>
                <w:rFonts w:hint="eastAsia" w:ascii="宋体" w:hAnsi="宋体" w:cs="宋体"/>
                <w:color w:val="auto"/>
                <w:kern w:val="0"/>
                <w:szCs w:val="21"/>
                <w:highlight w:val="none"/>
                <w:lang w:bidi="ar"/>
              </w:rPr>
              <w:t>7、设备支持网线LAN/4G双上行接入；具有≥1路SIM卡接口，≥1路LAN接口；≥1路4G信号接收接口，≥1路BT接口，支持各大运营商接入；</w:t>
            </w:r>
          </w:p>
          <w:p>
            <w:pPr>
              <w:keepNext w:val="0"/>
              <w:keepLines w:val="0"/>
              <w:widowControl/>
              <w:suppressLineNumbers w:val="0"/>
              <w:spacing w:before="0" w:beforeAutospacing="0" w:after="0" w:afterAutospacing="0"/>
              <w:ind w:left="0" w:right="0"/>
              <w:jc w:val="left"/>
              <w:textAlignment w:val="center"/>
              <w:rPr>
                <w:rFonts w:hint="default" w:ascii="宋体" w:hAnsi="宋体" w:cs="宋体"/>
                <w:color w:val="auto"/>
                <w:kern w:val="0"/>
                <w:szCs w:val="21"/>
                <w:highlight w:val="none"/>
                <w:lang w:bidi="ar"/>
              </w:rPr>
            </w:pPr>
            <w:r>
              <w:rPr>
                <w:rFonts w:hint="eastAsia" w:ascii="宋体" w:hAnsi="宋体" w:cs="宋体"/>
                <w:color w:val="auto"/>
                <w:kern w:val="0"/>
                <w:szCs w:val="21"/>
                <w:highlight w:val="none"/>
                <w:lang w:bidi="ar"/>
              </w:rPr>
              <w:t>8、设备具有≥1路AUXOUT接口，≥1路SHORTOUT接口，管控便捷；</w:t>
            </w:r>
          </w:p>
          <w:p>
            <w:pPr>
              <w:keepNext w:val="0"/>
              <w:keepLines w:val="0"/>
              <w:widowControl/>
              <w:suppressLineNumbers w:val="0"/>
              <w:spacing w:before="0" w:beforeAutospacing="0" w:after="0" w:afterAutospacing="0"/>
              <w:ind w:left="0" w:right="0"/>
              <w:jc w:val="left"/>
              <w:textAlignment w:val="center"/>
              <w:rPr>
                <w:rFonts w:hint="default" w:ascii="宋体" w:hAnsi="宋体" w:cs="宋体"/>
                <w:color w:val="auto"/>
                <w:kern w:val="0"/>
                <w:szCs w:val="21"/>
                <w:highlight w:val="none"/>
                <w:lang w:bidi="ar"/>
              </w:rPr>
            </w:pPr>
            <w:r>
              <w:rPr>
                <w:rFonts w:hint="eastAsia" w:ascii="宋体" w:hAnsi="宋体" w:cs="宋体"/>
                <w:color w:val="auto"/>
                <w:kern w:val="0"/>
                <w:szCs w:val="21"/>
                <w:highlight w:val="none"/>
                <w:lang w:bidi="ar"/>
              </w:rPr>
              <w:t>9、状态指示灯，显示终端状态；支持系统和终端的远程自动升级。</w:t>
            </w:r>
          </w:p>
        </w:tc>
        <w:tc>
          <w:tcPr>
            <w:tcW w:w="99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default" w:ascii="宋体" w:hAnsi="宋体" w:cs="宋体"/>
                <w:color w:val="auto"/>
                <w:kern w:val="0"/>
                <w:szCs w:val="21"/>
                <w:highlight w:val="none"/>
                <w:lang w:bidi="ar"/>
              </w:rPr>
            </w:pPr>
            <w:r>
              <w:rPr>
                <w:rFonts w:hint="eastAsia" w:ascii="宋体" w:hAnsi="宋体" w:cs="宋体"/>
                <w:color w:val="auto"/>
                <w:kern w:val="0"/>
                <w:szCs w:val="21"/>
                <w:highlight w:val="none"/>
                <w:lang w:bidi="ar"/>
              </w:rPr>
              <w:t>1</w:t>
            </w:r>
          </w:p>
        </w:tc>
        <w:tc>
          <w:tcPr>
            <w:tcW w:w="99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default" w:ascii="宋体" w:hAnsi="宋体" w:cs="宋体"/>
                <w:color w:val="auto"/>
                <w:kern w:val="0"/>
                <w:szCs w:val="21"/>
                <w:highlight w:val="none"/>
                <w:lang w:bidi="ar"/>
              </w:rPr>
            </w:pPr>
            <w:r>
              <w:rPr>
                <w:rFonts w:hint="eastAsia" w:ascii="宋体" w:hAnsi="宋体" w:cs="宋体"/>
                <w:color w:val="auto"/>
                <w:kern w:val="0"/>
                <w:szCs w:val="21"/>
                <w:highlight w:val="none"/>
                <w:lang w:bidi="ar"/>
              </w:rPr>
              <w:t>套</w:t>
            </w:r>
          </w:p>
        </w:tc>
      </w:tr>
      <w:tr>
        <w:tblPrEx>
          <w:tblCellMar>
            <w:top w:w="0" w:type="dxa"/>
            <w:left w:w="108" w:type="dxa"/>
            <w:bottom w:w="0" w:type="dxa"/>
            <w:right w:w="108" w:type="dxa"/>
          </w:tblCellMar>
        </w:tblPrEx>
        <w:trPr>
          <w:trHeight w:val="953" w:hRule="atLeast"/>
        </w:trPr>
        <w:tc>
          <w:tcPr>
            <w:tcW w:w="53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default" w:ascii="宋体" w:hAnsi="宋体" w:cs="宋体"/>
                <w:color w:val="auto"/>
                <w:szCs w:val="21"/>
                <w:highlight w:val="none"/>
              </w:rPr>
            </w:pPr>
            <w:r>
              <w:rPr>
                <w:rFonts w:hint="eastAsia" w:ascii="宋体" w:hAnsi="宋体" w:cs="宋体"/>
                <w:color w:val="auto"/>
                <w:kern w:val="0"/>
                <w:szCs w:val="21"/>
                <w:highlight w:val="none"/>
                <w:lang w:bidi="ar"/>
              </w:rPr>
              <w:t>14</w:t>
            </w:r>
          </w:p>
        </w:tc>
        <w:tc>
          <w:tcPr>
            <w:tcW w:w="158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default" w:ascii="宋体" w:hAnsi="宋体" w:cs="宋体"/>
                <w:color w:val="auto"/>
                <w:szCs w:val="21"/>
                <w:highlight w:val="none"/>
              </w:rPr>
            </w:pPr>
            <w:r>
              <w:rPr>
                <w:rFonts w:hint="eastAsia" w:ascii="宋体" w:hAnsi="宋体" w:cs="宋体"/>
                <w:color w:val="auto"/>
                <w:kern w:val="0"/>
                <w:szCs w:val="21"/>
                <w:highlight w:val="none"/>
                <w:lang w:bidi="ar"/>
              </w:rPr>
              <w:t>固定结构及边框装饰</w:t>
            </w:r>
          </w:p>
        </w:tc>
        <w:tc>
          <w:tcPr>
            <w:tcW w:w="487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default" w:ascii="宋体" w:hAnsi="宋体" w:cs="宋体"/>
                <w:color w:val="auto"/>
                <w:szCs w:val="21"/>
                <w:highlight w:val="none"/>
              </w:rPr>
            </w:pPr>
            <w:r>
              <w:rPr>
                <w:rFonts w:hint="eastAsia" w:ascii="宋体" w:hAnsi="宋体" w:cs="宋体"/>
                <w:color w:val="auto"/>
                <w:kern w:val="0"/>
                <w:szCs w:val="21"/>
                <w:highlight w:val="none"/>
                <w:lang w:bidi="ar"/>
              </w:rPr>
              <w:t>主体结构采用定制铝型材和辅材等完成显示屏的钢结构安装，外装饰美观、大方，不锈钢边框装饰。</w:t>
            </w:r>
          </w:p>
        </w:tc>
        <w:tc>
          <w:tcPr>
            <w:tcW w:w="99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default" w:ascii="宋体" w:hAnsi="宋体" w:cs="宋体"/>
                <w:color w:val="auto"/>
                <w:szCs w:val="21"/>
                <w:highlight w:val="none"/>
              </w:rPr>
            </w:pPr>
            <w:r>
              <w:rPr>
                <w:rFonts w:hint="eastAsia" w:ascii="宋体" w:hAnsi="宋体" w:cs="宋体"/>
                <w:color w:val="auto"/>
                <w:kern w:val="0"/>
                <w:szCs w:val="21"/>
                <w:highlight w:val="none"/>
                <w:lang w:bidi="ar"/>
              </w:rPr>
              <w:t>12</w:t>
            </w:r>
          </w:p>
        </w:tc>
        <w:tc>
          <w:tcPr>
            <w:tcW w:w="99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default" w:ascii="宋体" w:hAnsi="宋体" w:cs="宋体"/>
                <w:color w:val="auto"/>
                <w:szCs w:val="21"/>
                <w:highlight w:val="none"/>
              </w:rPr>
            </w:pPr>
            <w:r>
              <w:rPr>
                <w:rFonts w:hint="eastAsia" w:ascii="宋体" w:hAnsi="宋体" w:cs="宋体"/>
                <w:color w:val="auto"/>
                <w:kern w:val="0"/>
                <w:szCs w:val="21"/>
                <w:highlight w:val="none"/>
                <w:lang w:bidi="ar"/>
              </w:rPr>
              <w:t>㎡</w:t>
            </w:r>
          </w:p>
        </w:tc>
      </w:tr>
      <w:tr>
        <w:tblPrEx>
          <w:tblCellMar>
            <w:top w:w="0" w:type="dxa"/>
            <w:left w:w="108" w:type="dxa"/>
            <w:bottom w:w="0" w:type="dxa"/>
            <w:right w:w="108" w:type="dxa"/>
          </w:tblCellMar>
        </w:tblPrEx>
        <w:trPr>
          <w:trHeight w:val="639" w:hRule="atLeast"/>
        </w:trPr>
        <w:tc>
          <w:tcPr>
            <w:tcW w:w="53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default" w:ascii="宋体" w:hAnsi="宋体" w:cs="宋体"/>
                <w:color w:val="auto"/>
                <w:szCs w:val="21"/>
                <w:highlight w:val="none"/>
              </w:rPr>
            </w:pPr>
            <w:r>
              <w:rPr>
                <w:rFonts w:hint="eastAsia" w:ascii="宋体" w:hAnsi="宋体" w:cs="宋体"/>
                <w:color w:val="auto"/>
                <w:kern w:val="0"/>
                <w:szCs w:val="21"/>
                <w:highlight w:val="none"/>
                <w:lang w:bidi="ar"/>
              </w:rPr>
              <w:t>15</w:t>
            </w:r>
          </w:p>
        </w:tc>
        <w:tc>
          <w:tcPr>
            <w:tcW w:w="158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default" w:ascii="宋体" w:hAnsi="宋体" w:cs="宋体"/>
                <w:color w:val="auto"/>
                <w:szCs w:val="21"/>
                <w:highlight w:val="none"/>
              </w:rPr>
            </w:pPr>
            <w:r>
              <w:rPr>
                <w:rFonts w:hint="eastAsia" w:ascii="宋体" w:hAnsi="宋体" w:cs="宋体"/>
                <w:color w:val="auto"/>
                <w:kern w:val="0"/>
                <w:szCs w:val="21"/>
                <w:highlight w:val="none"/>
                <w:lang w:bidi="ar"/>
              </w:rPr>
              <w:t>线材/配件</w:t>
            </w:r>
          </w:p>
        </w:tc>
        <w:tc>
          <w:tcPr>
            <w:tcW w:w="487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default" w:ascii="宋体" w:hAnsi="宋体" w:cs="宋体"/>
                <w:color w:val="auto"/>
                <w:szCs w:val="21"/>
                <w:highlight w:val="none"/>
              </w:rPr>
            </w:pPr>
            <w:r>
              <w:rPr>
                <w:rFonts w:hint="eastAsia" w:ascii="宋体" w:hAnsi="宋体" w:cs="宋体"/>
                <w:color w:val="auto"/>
                <w:kern w:val="0"/>
                <w:szCs w:val="21"/>
                <w:highlight w:val="none"/>
                <w:lang w:bidi="ar"/>
              </w:rPr>
              <w:t>屏体内部走线所需的线材</w:t>
            </w:r>
          </w:p>
        </w:tc>
        <w:tc>
          <w:tcPr>
            <w:tcW w:w="99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default" w:ascii="宋体" w:hAnsi="宋体" w:cs="宋体"/>
                <w:color w:val="auto"/>
                <w:szCs w:val="21"/>
                <w:highlight w:val="none"/>
              </w:rPr>
            </w:pPr>
            <w:r>
              <w:rPr>
                <w:rFonts w:hint="eastAsia" w:ascii="宋体" w:hAnsi="宋体" w:cs="宋体"/>
                <w:color w:val="auto"/>
                <w:kern w:val="0"/>
                <w:szCs w:val="21"/>
                <w:highlight w:val="none"/>
                <w:lang w:bidi="ar"/>
              </w:rPr>
              <w:t>1</w:t>
            </w:r>
          </w:p>
        </w:tc>
        <w:tc>
          <w:tcPr>
            <w:tcW w:w="99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default" w:ascii="宋体" w:hAnsi="宋体" w:cs="宋体"/>
                <w:color w:val="auto"/>
                <w:szCs w:val="21"/>
                <w:highlight w:val="none"/>
              </w:rPr>
            </w:pPr>
            <w:r>
              <w:rPr>
                <w:rFonts w:hint="eastAsia" w:ascii="宋体" w:hAnsi="宋体" w:cs="宋体"/>
                <w:color w:val="auto"/>
                <w:kern w:val="0"/>
                <w:szCs w:val="21"/>
                <w:highlight w:val="none"/>
                <w:lang w:bidi="ar"/>
              </w:rPr>
              <w:t>项</w:t>
            </w:r>
          </w:p>
        </w:tc>
      </w:tr>
      <w:tr>
        <w:tblPrEx>
          <w:tblCellMar>
            <w:top w:w="0" w:type="dxa"/>
            <w:left w:w="108" w:type="dxa"/>
            <w:bottom w:w="0" w:type="dxa"/>
            <w:right w:w="108" w:type="dxa"/>
          </w:tblCellMar>
        </w:tblPrEx>
        <w:trPr>
          <w:trHeight w:val="693" w:hRule="atLeast"/>
        </w:trPr>
        <w:tc>
          <w:tcPr>
            <w:tcW w:w="53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default" w:ascii="宋体" w:hAnsi="宋体" w:cs="宋体"/>
                <w:color w:val="auto"/>
                <w:szCs w:val="21"/>
                <w:highlight w:val="none"/>
              </w:rPr>
            </w:pPr>
            <w:r>
              <w:rPr>
                <w:rFonts w:hint="eastAsia" w:ascii="宋体" w:hAnsi="宋体" w:cs="宋体"/>
                <w:color w:val="auto"/>
                <w:kern w:val="0"/>
                <w:szCs w:val="21"/>
                <w:highlight w:val="none"/>
                <w:lang w:bidi="ar"/>
              </w:rPr>
              <w:t>16</w:t>
            </w:r>
          </w:p>
        </w:tc>
        <w:tc>
          <w:tcPr>
            <w:tcW w:w="158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default" w:ascii="宋体" w:hAnsi="宋体" w:cs="宋体"/>
                <w:color w:val="auto"/>
                <w:szCs w:val="21"/>
                <w:highlight w:val="none"/>
              </w:rPr>
            </w:pPr>
            <w:r>
              <w:rPr>
                <w:rFonts w:hint="eastAsia" w:ascii="宋体" w:hAnsi="宋体" w:cs="宋体"/>
                <w:color w:val="auto"/>
                <w:kern w:val="0"/>
                <w:szCs w:val="21"/>
                <w:highlight w:val="none"/>
                <w:lang w:bidi="ar"/>
              </w:rPr>
              <w:t>设备安装调试</w:t>
            </w:r>
          </w:p>
        </w:tc>
        <w:tc>
          <w:tcPr>
            <w:tcW w:w="487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left"/>
              <w:textAlignment w:val="center"/>
              <w:rPr>
                <w:rFonts w:hint="default" w:ascii="宋体" w:hAnsi="宋体" w:cs="宋体"/>
                <w:color w:val="auto"/>
                <w:szCs w:val="21"/>
                <w:highlight w:val="none"/>
              </w:rPr>
            </w:pPr>
            <w:r>
              <w:rPr>
                <w:rFonts w:hint="eastAsia" w:ascii="宋体" w:hAnsi="宋体" w:cs="宋体"/>
                <w:color w:val="auto"/>
                <w:kern w:val="0"/>
                <w:szCs w:val="21"/>
                <w:highlight w:val="none"/>
                <w:lang w:bidi="ar"/>
              </w:rPr>
              <w:t>包含设备安装/调试/差旅费用</w:t>
            </w:r>
          </w:p>
        </w:tc>
        <w:tc>
          <w:tcPr>
            <w:tcW w:w="990"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default" w:ascii="宋体" w:hAnsi="宋体" w:cs="宋体"/>
                <w:color w:val="auto"/>
                <w:szCs w:val="21"/>
                <w:highlight w:val="none"/>
              </w:rPr>
            </w:pPr>
            <w:r>
              <w:rPr>
                <w:rFonts w:hint="eastAsia" w:ascii="宋体" w:hAnsi="宋体" w:cs="宋体"/>
                <w:color w:val="auto"/>
                <w:kern w:val="0"/>
                <w:szCs w:val="21"/>
                <w:highlight w:val="none"/>
                <w:lang w:bidi="ar"/>
              </w:rPr>
              <w:t>1</w:t>
            </w:r>
          </w:p>
        </w:tc>
        <w:tc>
          <w:tcPr>
            <w:tcW w:w="99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ind w:left="0" w:right="0"/>
              <w:jc w:val="center"/>
              <w:textAlignment w:val="center"/>
              <w:rPr>
                <w:rFonts w:hint="default" w:ascii="宋体" w:hAnsi="宋体" w:cs="宋体"/>
                <w:color w:val="auto"/>
                <w:szCs w:val="21"/>
                <w:highlight w:val="none"/>
              </w:rPr>
            </w:pPr>
            <w:r>
              <w:rPr>
                <w:rFonts w:hint="eastAsia" w:ascii="宋体" w:hAnsi="宋体" w:cs="宋体"/>
                <w:color w:val="auto"/>
                <w:kern w:val="0"/>
                <w:szCs w:val="21"/>
                <w:highlight w:val="none"/>
                <w:lang w:bidi="ar"/>
              </w:rPr>
              <w:t>项</w:t>
            </w:r>
          </w:p>
        </w:tc>
      </w:tr>
      <w:tr>
        <w:tblPrEx>
          <w:tblCellMar>
            <w:top w:w="0" w:type="dxa"/>
            <w:left w:w="108" w:type="dxa"/>
            <w:bottom w:w="0" w:type="dxa"/>
            <w:right w:w="108" w:type="dxa"/>
          </w:tblCellMar>
        </w:tblPrEx>
        <w:trPr>
          <w:trHeight w:val="693" w:hRule="atLeast"/>
        </w:trPr>
        <w:tc>
          <w:tcPr>
            <w:tcW w:w="8980" w:type="dxa"/>
            <w:gridSpan w:val="5"/>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500" w:lineRule="exact"/>
              <w:ind w:left="0" w:right="0"/>
              <w:jc w:val="left"/>
              <w:rPr>
                <w:rFonts w:hint="default" w:ascii="宋体" w:hAnsi="宋体" w:cs="宋体"/>
                <w:color w:val="auto"/>
                <w:szCs w:val="21"/>
                <w:highlight w:val="none"/>
              </w:rPr>
            </w:pPr>
            <w:r>
              <w:rPr>
                <w:rFonts w:hint="eastAsia" w:ascii="宋体" w:hAnsi="宋体" w:cs="宋体"/>
                <w:color w:val="auto"/>
                <w:szCs w:val="21"/>
                <w:highlight w:val="none"/>
              </w:rPr>
              <w:t>注：（1）除技术参数中另行要求的情况外，上述所有的规格、尺寸允许的误差范围为±2%。</w:t>
            </w:r>
          </w:p>
          <w:p>
            <w:pPr>
              <w:keepNext w:val="0"/>
              <w:keepLines w:val="0"/>
              <w:widowControl/>
              <w:suppressLineNumbers w:val="0"/>
              <w:spacing w:before="0" w:beforeAutospacing="0" w:after="0" w:afterAutospacing="0" w:line="500" w:lineRule="exact"/>
              <w:ind w:left="0" w:right="0" w:firstLine="420" w:firstLineChars="200"/>
              <w:jc w:val="left"/>
              <w:rPr>
                <w:rFonts w:hint="default" w:ascii="宋体" w:hAnsi="宋体" w:cs="宋体"/>
                <w:color w:val="auto"/>
                <w:szCs w:val="21"/>
                <w:highlight w:val="none"/>
              </w:rPr>
            </w:pPr>
            <w:r>
              <w:rPr>
                <w:rFonts w:hint="eastAsia" w:ascii="宋体" w:hAnsi="宋体" w:cs="宋体"/>
                <w:color w:val="auto"/>
                <w:szCs w:val="21"/>
                <w:highlight w:val="none"/>
              </w:rPr>
              <w:t>（2）供应商的响应报价包含本次项目施工过程中实际所需全部辅材及安装服务费用。</w:t>
            </w:r>
          </w:p>
          <w:p>
            <w:pPr>
              <w:keepNext w:val="0"/>
              <w:keepLines w:val="0"/>
              <w:widowControl/>
              <w:suppressLineNumbers w:val="0"/>
              <w:spacing w:before="0" w:beforeAutospacing="0" w:after="0" w:afterAutospacing="0" w:line="500" w:lineRule="exact"/>
              <w:ind w:left="0" w:right="0" w:firstLine="420" w:firstLineChars="200"/>
              <w:jc w:val="left"/>
              <w:rPr>
                <w:rFonts w:hint="default" w:ascii="宋体" w:hAnsi="宋体" w:cs="宋体"/>
                <w:color w:val="auto"/>
                <w:szCs w:val="21"/>
                <w:highlight w:val="none"/>
              </w:rPr>
            </w:pPr>
            <w:r>
              <w:rPr>
                <w:rFonts w:hint="eastAsia" w:ascii="宋体" w:hAnsi="宋体" w:cs="宋体"/>
                <w:color w:val="auto"/>
                <w:kern w:val="0"/>
                <w:szCs w:val="21"/>
                <w:highlight w:val="none"/>
                <w:lang w:bidi="ar"/>
              </w:rPr>
              <w:t>（3）上述若要求“原件备查”的，供应商若有响应，签署合同时采购人有权要求供应商提供对应的证书或证明材料的原件或公证件进行核对。若供应商无法提供对应材料或提供放入材料与投标响应时提供的材料不一致，按虚假应标处理，其成交结果无效。因此对采购人造成损失的，供应商还要承担相应的赔偿责任。</w:t>
            </w:r>
          </w:p>
        </w:tc>
      </w:tr>
    </w:tbl>
    <w:p>
      <w:pPr>
        <w:rPr>
          <w:color w:val="auto"/>
          <w:sz w:val="20"/>
          <w:szCs w:val="20"/>
          <w:highlight w:val="none"/>
        </w:rPr>
      </w:pPr>
    </w:p>
    <w:p>
      <w:pPr>
        <w:widowControl/>
        <w:spacing w:before="180" w:line="345" w:lineRule="atLeast"/>
        <w:ind w:firstLine="482"/>
        <w:jc w:val="left"/>
        <w:rPr>
          <w:rFonts w:ascii="宋体" w:hAnsi="宋体" w:cs="宋体"/>
          <w:b/>
          <w:color w:val="auto"/>
          <w:kern w:val="0"/>
          <w:szCs w:val="21"/>
          <w:highlight w:val="none"/>
        </w:rPr>
      </w:pPr>
      <w:r>
        <w:rPr>
          <w:rFonts w:hint="eastAsia" w:ascii="宋体" w:hAnsi="宋体" w:cs="宋体"/>
          <w:b/>
          <w:color w:val="auto"/>
          <w:kern w:val="0"/>
          <w:szCs w:val="21"/>
          <w:highlight w:val="none"/>
        </w:rPr>
        <w:t>三、商务条件（★以下内容均为不允许负偏离的实质性要求）</w:t>
      </w:r>
    </w:p>
    <w:p>
      <w:pPr>
        <w:widowControl/>
        <w:spacing w:before="180" w:line="440" w:lineRule="exact"/>
        <w:ind w:firstLine="315" w:firstLineChars="150"/>
        <w:jc w:val="left"/>
        <w:rPr>
          <w:rFonts w:ascii="宋体" w:hAnsi="宋体" w:cs="宋体"/>
          <w:color w:val="auto"/>
          <w:kern w:val="0"/>
          <w:szCs w:val="21"/>
          <w:highlight w:val="none"/>
        </w:rPr>
      </w:pPr>
      <w:r>
        <w:rPr>
          <w:rFonts w:hint="eastAsia" w:ascii="宋体" w:hAnsi="宋体" w:cs="宋体"/>
          <w:color w:val="auto"/>
          <w:kern w:val="0"/>
          <w:szCs w:val="21"/>
          <w:highlight w:val="none"/>
        </w:rPr>
        <w:t>包：1</w:t>
      </w:r>
    </w:p>
    <w:p>
      <w:pPr>
        <w:widowControl/>
        <w:spacing w:before="180" w:line="440" w:lineRule="exact"/>
        <w:ind w:firstLine="315" w:firstLineChars="150"/>
        <w:jc w:val="left"/>
        <w:rPr>
          <w:rFonts w:ascii="宋体" w:hAnsi="宋体" w:cs="宋体"/>
          <w:color w:val="auto"/>
          <w:kern w:val="0"/>
          <w:szCs w:val="21"/>
          <w:highlight w:val="none"/>
        </w:rPr>
      </w:pPr>
      <w:r>
        <w:rPr>
          <w:rFonts w:hint="eastAsia" w:ascii="宋体" w:hAnsi="宋体" w:cs="宋体"/>
          <w:color w:val="auto"/>
          <w:kern w:val="0"/>
          <w:szCs w:val="21"/>
          <w:highlight w:val="none"/>
        </w:rPr>
        <w:t xml:space="preserve">1、交付地点：采购人指定地点。 </w:t>
      </w:r>
    </w:p>
    <w:p>
      <w:pPr>
        <w:widowControl/>
        <w:spacing w:before="180" w:line="440" w:lineRule="exact"/>
        <w:ind w:firstLine="315" w:firstLineChars="150"/>
        <w:jc w:val="left"/>
        <w:rPr>
          <w:rFonts w:ascii="宋体" w:hAnsi="宋体" w:cs="宋体"/>
          <w:color w:val="auto"/>
          <w:kern w:val="0"/>
          <w:szCs w:val="21"/>
          <w:highlight w:val="none"/>
        </w:rPr>
      </w:pPr>
      <w:r>
        <w:rPr>
          <w:rFonts w:hint="eastAsia" w:ascii="宋体" w:hAnsi="宋体" w:cs="宋体"/>
          <w:color w:val="auto"/>
          <w:kern w:val="0"/>
          <w:szCs w:val="21"/>
          <w:highlight w:val="none"/>
        </w:rPr>
        <w:t>2、</w:t>
      </w:r>
      <w:r>
        <w:rPr>
          <w:rFonts w:ascii="宋体" w:hAnsi="宋体" w:cs="宋体"/>
          <w:color w:val="auto"/>
          <w:kern w:val="0"/>
          <w:szCs w:val="21"/>
          <w:highlight w:val="none"/>
        </w:rPr>
        <w:t>交付</w:t>
      </w:r>
      <w:r>
        <w:rPr>
          <w:rFonts w:hint="eastAsia" w:ascii="宋体" w:hAnsi="宋体" w:cs="宋体"/>
          <w:color w:val="auto"/>
          <w:kern w:val="0"/>
          <w:szCs w:val="21"/>
          <w:highlight w:val="none"/>
        </w:rPr>
        <w:t>时间：合同签订之日起，</w:t>
      </w:r>
      <w:r>
        <w:rPr>
          <w:rFonts w:ascii="宋体" w:hAnsi="宋体" w:cs="宋体"/>
          <w:color w:val="auto"/>
          <w:kern w:val="0"/>
          <w:sz w:val="22"/>
          <w:szCs w:val="21"/>
          <w:highlight w:val="none"/>
        </w:rPr>
        <w:t>80</w:t>
      </w:r>
      <w:r>
        <w:rPr>
          <w:rFonts w:hint="eastAsia" w:ascii="宋体" w:hAnsi="宋体" w:cs="宋体"/>
          <w:color w:val="auto"/>
          <w:kern w:val="0"/>
          <w:sz w:val="22"/>
          <w:szCs w:val="21"/>
          <w:highlight w:val="none"/>
        </w:rPr>
        <w:t>个日历日</w:t>
      </w:r>
      <w:r>
        <w:rPr>
          <w:rFonts w:hint="eastAsia" w:ascii="宋体" w:hAnsi="宋体" w:cs="宋体"/>
          <w:color w:val="auto"/>
          <w:kern w:val="0"/>
          <w:szCs w:val="21"/>
          <w:highlight w:val="none"/>
        </w:rPr>
        <w:t>内完成所有货物的进场、安装及调试，并通过采购人验收。</w:t>
      </w:r>
    </w:p>
    <w:p>
      <w:pPr>
        <w:widowControl/>
        <w:spacing w:before="180" w:line="440" w:lineRule="exact"/>
        <w:ind w:firstLine="315" w:firstLineChars="150"/>
        <w:jc w:val="left"/>
        <w:rPr>
          <w:rFonts w:ascii="宋体" w:hAnsi="宋体" w:cs="宋体"/>
          <w:color w:val="auto"/>
          <w:kern w:val="0"/>
          <w:szCs w:val="21"/>
          <w:highlight w:val="none"/>
        </w:rPr>
      </w:pPr>
      <w:r>
        <w:rPr>
          <w:rFonts w:hint="eastAsia" w:ascii="宋体" w:hAnsi="宋体" w:cs="宋体"/>
          <w:color w:val="auto"/>
          <w:kern w:val="0"/>
          <w:szCs w:val="21"/>
          <w:highlight w:val="none"/>
        </w:rPr>
        <w:t>3、交付条件：经采购人验收合格。</w:t>
      </w:r>
    </w:p>
    <w:p>
      <w:pPr>
        <w:widowControl/>
        <w:spacing w:before="180" w:line="440" w:lineRule="exact"/>
        <w:ind w:left="315"/>
        <w:jc w:val="left"/>
        <w:rPr>
          <w:rFonts w:ascii="宋体" w:hAnsi="宋体" w:cs="宋体"/>
          <w:color w:val="auto"/>
          <w:kern w:val="0"/>
          <w:szCs w:val="21"/>
          <w:highlight w:val="none"/>
        </w:rPr>
      </w:pPr>
      <w:r>
        <w:rPr>
          <w:rFonts w:hint="eastAsia" w:ascii="宋体" w:hAnsi="宋体" w:cs="宋体"/>
          <w:color w:val="auto"/>
          <w:kern w:val="0"/>
          <w:szCs w:val="21"/>
          <w:highlight w:val="none"/>
        </w:rPr>
        <w:t>4、支付方式：</w:t>
      </w:r>
    </w:p>
    <w:p>
      <w:pPr>
        <w:pStyle w:val="2"/>
        <w:rPr>
          <w:color w:val="auto"/>
          <w:highlight w:val="none"/>
        </w:rPr>
      </w:pPr>
    </w:p>
    <w:tbl>
      <w:tblPr>
        <w:tblStyle w:val="15"/>
        <w:tblW w:w="5000" w:type="pct"/>
        <w:tblCellSpacing w:w="0" w:type="dxa"/>
        <w:tblInd w:w="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901"/>
        <w:gridCol w:w="1211"/>
        <w:gridCol w:w="76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Header/>
          <w:tblCellSpacing w:w="0" w:type="dxa"/>
        </w:trPr>
        <w:tc>
          <w:tcPr>
            <w:tcW w:w="461" w:type="pct"/>
            <w:vAlign w:val="center"/>
          </w:tcPr>
          <w:p>
            <w:pPr>
              <w:keepNext w:val="0"/>
              <w:keepLines w:val="0"/>
              <w:widowControl/>
              <w:suppressLineNumbers w:val="0"/>
              <w:spacing w:before="0" w:beforeAutospacing="0" w:after="0" w:afterAutospacing="0"/>
              <w:ind w:left="0" w:right="0"/>
              <w:jc w:val="center"/>
              <w:rPr>
                <w:rFonts w:hint="default" w:ascii="宋体" w:hAnsi="宋体" w:cs="宋体"/>
                <w:color w:val="auto"/>
                <w:kern w:val="0"/>
                <w:highlight w:val="none"/>
              </w:rPr>
            </w:pPr>
            <w:r>
              <w:rPr>
                <w:rFonts w:hint="default" w:ascii="宋体" w:hAnsi="宋体" w:cs="宋体"/>
                <w:color w:val="auto"/>
                <w:kern w:val="0"/>
                <w:highlight w:val="none"/>
              </w:rPr>
              <w:t>支付期次</w:t>
            </w:r>
          </w:p>
        </w:tc>
        <w:tc>
          <w:tcPr>
            <w:tcW w:w="620" w:type="pct"/>
            <w:vAlign w:val="center"/>
          </w:tcPr>
          <w:p>
            <w:pPr>
              <w:keepNext w:val="0"/>
              <w:keepLines w:val="0"/>
              <w:widowControl/>
              <w:suppressLineNumbers w:val="0"/>
              <w:spacing w:before="0" w:beforeAutospacing="0" w:after="0" w:afterAutospacing="0"/>
              <w:ind w:left="0" w:right="0"/>
              <w:jc w:val="center"/>
              <w:rPr>
                <w:rFonts w:hint="default" w:ascii="宋体" w:hAnsi="宋体" w:cs="宋体"/>
                <w:color w:val="auto"/>
                <w:kern w:val="0"/>
                <w:highlight w:val="none"/>
              </w:rPr>
            </w:pPr>
            <w:r>
              <w:rPr>
                <w:rFonts w:hint="default" w:ascii="宋体" w:hAnsi="宋体" w:cs="宋体"/>
                <w:color w:val="auto"/>
                <w:kern w:val="0"/>
                <w:highlight w:val="none"/>
              </w:rPr>
              <w:t>支付比例(%)</w:t>
            </w:r>
          </w:p>
        </w:tc>
        <w:tc>
          <w:tcPr>
            <w:tcW w:w="3917" w:type="pct"/>
            <w:vAlign w:val="center"/>
          </w:tcPr>
          <w:p>
            <w:pPr>
              <w:keepNext w:val="0"/>
              <w:keepLines w:val="0"/>
              <w:widowControl/>
              <w:suppressLineNumbers w:val="0"/>
              <w:spacing w:before="0" w:beforeAutospacing="0" w:after="0" w:afterAutospacing="0" w:line="360" w:lineRule="auto"/>
              <w:ind w:left="0" w:right="0"/>
              <w:jc w:val="center"/>
              <w:rPr>
                <w:rFonts w:hint="default" w:ascii="宋体" w:hAnsi="宋体" w:cs="宋体"/>
                <w:color w:val="auto"/>
                <w:kern w:val="0"/>
                <w:highlight w:val="none"/>
              </w:rPr>
            </w:pPr>
            <w:r>
              <w:rPr>
                <w:rFonts w:hint="default" w:ascii="宋体" w:hAnsi="宋体" w:cs="宋体"/>
                <w:color w:val="auto"/>
                <w:kern w:val="0"/>
                <w:highlight w:val="none"/>
              </w:rPr>
              <w:t>支付期次说明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0" w:type="dxa"/>
        </w:trPr>
        <w:tc>
          <w:tcPr>
            <w:tcW w:w="461" w:type="pct"/>
            <w:vAlign w:val="center"/>
          </w:tcPr>
          <w:p>
            <w:pPr>
              <w:keepNext w:val="0"/>
              <w:keepLines w:val="0"/>
              <w:widowControl/>
              <w:suppressLineNumbers w:val="0"/>
              <w:spacing w:before="0" w:beforeAutospacing="0" w:after="0" w:afterAutospacing="0"/>
              <w:ind w:left="0" w:right="0"/>
              <w:jc w:val="center"/>
              <w:rPr>
                <w:rFonts w:hint="default" w:ascii="宋体" w:hAnsi="宋体" w:cs="宋体"/>
                <w:color w:val="auto"/>
                <w:kern w:val="0"/>
                <w:highlight w:val="none"/>
              </w:rPr>
            </w:pPr>
            <w:r>
              <w:rPr>
                <w:rFonts w:hint="default" w:ascii="宋体" w:hAnsi="宋体" w:cs="宋体"/>
                <w:color w:val="auto"/>
                <w:kern w:val="0"/>
                <w:highlight w:val="none"/>
              </w:rPr>
              <w:t>1</w:t>
            </w:r>
          </w:p>
        </w:tc>
        <w:tc>
          <w:tcPr>
            <w:tcW w:w="620" w:type="pct"/>
            <w:vAlign w:val="center"/>
          </w:tcPr>
          <w:p>
            <w:pPr>
              <w:keepNext w:val="0"/>
              <w:keepLines w:val="0"/>
              <w:widowControl/>
              <w:suppressLineNumbers w:val="0"/>
              <w:spacing w:before="0" w:beforeAutospacing="0" w:after="0" w:afterAutospacing="0"/>
              <w:ind w:left="0" w:right="0"/>
              <w:jc w:val="center"/>
              <w:rPr>
                <w:rFonts w:hint="default" w:ascii="宋体" w:hAnsi="宋体" w:cs="宋体"/>
                <w:color w:val="auto"/>
                <w:kern w:val="0"/>
                <w:highlight w:val="none"/>
              </w:rPr>
            </w:pPr>
            <w:r>
              <w:rPr>
                <w:rFonts w:hint="default" w:ascii="宋体" w:hAnsi="宋体" w:cs="宋体"/>
                <w:color w:val="auto"/>
                <w:kern w:val="0"/>
                <w:highlight w:val="none"/>
              </w:rPr>
              <w:t>30</w:t>
            </w:r>
          </w:p>
        </w:tc>
        <w:tc>
          <w:tcPr>
            <w:tcW w:w="3917" w:type="pct"/>
            <w:vAlign w:val="center"/>
          </w:tcPr>
          <w:p>
            <w:pPr>
              <w:keepNext w:val="0"/>
              <w:keepLines w:val="0"/>
              <w:widowControl/>
              <w:suppressLineNumbers w:val="0"/>
              <w:spacing w:before="0" w:beforeAutospacing="0" w:after="0" w:afterAutospacing="0" w:line="360" w:lineRule="auto"/>
              <w:ind w:left="0" w:right="0" w:firstLine="420" w:firstLineChars="200"/>
              <w:jc w:val="left"/>
              <w:rPr>
                <w:rFonts w:hint="default" w:ascii="宋体" w:hAnsi="宋体" w:cs="宋体"/>
                <w:color w:val="auto"/>
                <w:kern w:val="0"/>
                <w:highlight w:val="none"/>
              </w:rPr>
            </w:pPr>
            <w:r>
              <w:rPr>
                <w:rFonts w:hint="eastAsia" w:ascii="宋体" w:hAnsi="宋体" w:cs="宋体"/>
                <w:color w:val="auto"/>
                <w:kern w:val="0"/>
                <w:highlight w:val="none"/>
              </w:rPr>
              <w:t>合同</w:t>
            </w:r>
            <w:r>
              <w:rPr>
                <w:rFonts w:hint="default" w:ascii="宋体" w:hAnsi="宋体" w:cs="宋体"/>
                <w:color w:val="auto"/>
                <w:kern w:val="0"/>
                <w:highlight w:val="none"/>
              </w:rPr>
              <w:t>签订后</w:t>
            </w:r>
            <w:r>
              <w:rPr>
                <w:rFonts w:hint="eastAsia" w:ascii="宋体" w:hAnsi="宋体" w:cs="宋体"/>
                <w:color w:val="auto"/>
                <w:kern w:val="0"/>
                <w:highlight w:val="none"/>
              </w:rPr>
              <w:t>，5个工作日内采购人向成交人</w:t>
            </w:r>
            <w:r>
              <w:rPr>
                <w:rFonts w:hint="default" w:ascii="宋体" w:hAnsi="宋体" w:cs="宋体"/>
                <w:color w:val="auto"/>
                <w:kern w:val="0"/>
                <w:highlight w:val="none"/>
              </w:rPr>
              <w:t>支付合同金额的30</w:t>
            </w:r>
            <w:r>
              <w:rPr>
                <w:rFonts w:hint="eastAsia" w:ascii="宋体" w:hAnsi="宋体" w:cs="宋体"/>
                <w:color w:val="auto"/>
                <w:kern w:val="0"/>
                <w:highlight w:val="none"/>
              </w:rPr>
              <w:t>%</w:t>
            </w:r>
            <w:r>
              <w:rPr>
                <w:rFonts w:hint="default" w:ascii="宋体" w:hAnsi="宋体" w:cs="宋体"/>
                <w:color w:val="auto"/>
                <w:kern w:val="0"/>
                <w:highlight w:val="none"/>
              </w:rPr>
              <w:t>预付款</w:t>
            </w:r>
            <w:r>
              <w:rPr>
                <w:rFonts w:hint="eastAsia" w:ascii="宋体" w:hAnsi="宋体" w:cs="宋体"/>
                <w:color w:val="auto"/>
                <w:kern w:val="0"/>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0" w:type="dxa"/>
        </w:trPr>
        <w:tc>
          <w:tcPr>
            <w:tcW w:w="461" w:type="pct"/>
            <w:vAlign w:val="center"/>
          </w:tcPr>
          <w:p>
            <w:pPr>
              <w:keepNext w:val="0"/>
              <w:keepLines w:val="0"/>
              <w:widowControl/>
              <w:suppressLineNumbers w:val="0"/>
              <w:spacing w:before="0" w:beforeAutospacing="0" w:after="0" w:afterAutospacing="0"/>
              <w:ind w:left="0" w:right="0"/>
              <w:jc w:val="center"/>
              <w:rPr>
                <w:rFonts w:hint="default" w:ascii="宋体" w:hAnsi="宋体" w:cs="宋体"/>
                <w:color w:val="auto"/>
                <w:kern w:val="0"/>
                <w:highlight w:val="none"/>
              </w:rPr>
            </w:pPr>
            <w:r>
              <w:rPr>
                <w:rFonts w:hint="default" w:ascii="宋体" w:hAnsi="宋体" w:cs="宋体"/>
                <w:color w:val="auto"/>
                <w:kern w:val="0"/>
                <w:highlight w:val="none"/>
              </w:rPr>
              <w:t>2</w:t>
            </w:r>
          </w:p>
        </w:tc>
        <w:tc>
          <w:tcPr>
            <w:tcW w:w="620" w:type="pct"/>
            <w:vAlign w:val="center"/>
          </w:tcPr>
          <w:p>
            <w:pPr>
              <w:keepNext w:val="0"/>
              <w:keepLines w:val="0"/>
              <w:widowControl/>
              <w:suppressLineNumbers w:val="0"/>
              <w:spacing w:before="0" w:beforeAutospacing="0" w:after="0" w:afterAutospacing="0"/>
              <w:ind w:left="0" w:right="0"/>
              <w:jc w:val="center"/>
              <w:rPr>
                <w:rFonts w:hint="default" w:ascii="宋体" w:hAnsi="宋体" w:cs="宋体"/>
                <w:color w:val="auto"/>
                <w:kern w:val="0"/>
                <w:highlight w:val="none"/>
              </w:rPr>
            </w:pPr>
            <w:r>
              <w:rPr>
                <w:rFonts w:hint="default" w:ascii="宋体" w:hAnsi="宋体" w:cs="宋体"/>
                <w:color w:val="auto"/>
                <w:kern w:val="0"/>
                <w:highlight w:val="none"/>
              </w:rPr>
              <w:t>40</w:t>
            </w:r>
          </w:p>
        </w:tc>
        <w:tc>
          <w:tcPr>
            <w:tcW w:w="3917" w:type="pct"/>
            <w:vAlign w:val="center"/>
          </w:tcPr>
          <w:p>
            <w:pPr>
              <w:keepNext w:val="0"/>
              <w:keepLines w:val="0"/>
              <w:widowControl/>
              <w:suppressLineNumbers w:val="0"/>
              <w:spacing w:before="0" w:beforeAutospacing="0" w:after="0" w:afterAutospacing="0" w:line="360" w:lineRule="auto"/>
              <w:ind w:left="0" w:right="0" w:firstLine="420" w:firstLineChars="200"/>
              <w:jc w:val="left"/>
              <w:rPr>
                <w:rFonts w:hint="default" w:ascii="宋体" w:hAnsi="宋体" w:cs="宋体"/>
                <w:color w:val="auto"/>
                <w:kern w:val="0"/>
                <w:highlight w:val="none"/>
              </w:rPr>
            </w:pPr>
            <w:r>
              <w:rPr>
                <w:rFonts w:hint="default" w:ascii="宋体" w:hAnsi="宋体" w:cs="宋体"/>
                <w:color w:val="auto"/>
                <w:kern w:val="0"/>
                <w:highlight w:val="none"/>
              </w:rPr>
              <w:t>经</w:t>
            </w:r>
            <w:r>
              <w:rPr>
                <w:rFonts w:hint="eastAsia" w:ascii="宋体" w:hAnsi="宋体" w:cs="宋体"/>
                <w:color w:val="auto"/>
                <w:kern w:val="0"/>
                <w:highlight w:val="none"/>
              </w:rPr>
              <w:t>采购人</w:t>
            </w:r>
            <w:r>
              <w:rPr>
                <w:rFonts w:hint="default" w:ascii="宋体" w:hAnsi="宋体" w:cs="宋体"/>
                <w:color w:val="auto"/>
                <w:kern w:val="0"/>
                <w:highlight w:val="none"/>
              </w:rPr>
              <w:t>相关负责人清点后</w:t>
            </w:r>
            <w:r>
              <w:rPr>
                <w:rFonts w:hint="eastAsia" w:ascii="宋体" w:hAnsi="宋体" w:cs="宋体"/>
                <w:color w:val="auto"/>
                <w:kern w:val="0"/>
                <w:highlight w:val="none"/>
              </w:rPr>
              <w:t>，5个工作日内采购人</w:t>
            </w:r>
            <w:r>
              <w:rPr>
                <w:rFonts w:hint="default" w:ascii="宋体" w:hAnsi="宋体" w:cs="宋体"/>
                <w:color w:val="auto"/>
                <w:kern w:val="0"/>
                <w:highlight w:val="none"/>
              </w:rPr>
              <w:t>向</w:t>
            </w:r>
            <w:r>
              <w:rPr>
                <w:rFonts w:hint="eastAsia" w:ascii="宋体" w:hAnsi="宋体" w:cs="宋体"/>
                <w:color w:val="auto"/>
                <w:kern w:val="0"/>
                <w:highlight w:val="none"/>
              </w:rPr>
              <w:t>成交人</w:t>
            </w:r>
            <w:r>
              <w:rPr>
                <w:rFonts w:hint="default" w:ascii="宋体" w:hAnsi="宋体" w:cs="宋体"/>
                <w:color w:val="auto"/>
                <w:kern w:val="0"/>
                <w:highlight w:val="none"/>
              </w:rPr>
              <w:t>支付合同金额的40</w:t>
            </w:r>
            <w:r>
              <w:rPr>
                <w:rFonts w:hint="eastAsia" w:ascii="宋体" w:hAnsi="宋体" w:cs="宋体"/>
                <w:color w:val="auto"/>
                <w:kern w:val="0"/>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0" w:type="dxa"/>
        </w:trPr>
        <w:tc>
          <w:tcPr>
            <w:tcW w:w="461" w:type="pct"/>
            <w:vAlign w:val="center"/>
          </w:tcPr>
          <w:p>
            <w:pPr>
              <w:keepNext w:val="0"/>
              <w:keepLines w:val="0"/>
              <w:widowControl/>
              <w:suppressLineNumbers w:val="0"/>
              <w:spacing w:before="0" w:beforeAutospacing="0" w:after="0" w:afterAutospacing="0"/>
              <w:ind w:left="0" w:right="0"/>
              <w:jc w:val="center"/>
              <w:rPr>
                <w:rFonts w:hint="default" w:ascii="宋体" w:hAnsi="宋体" w:cs="宋体"/>
                <w:color w:val="auto"/>
                <w:kern w:val="0"/>
                <w:highlight w:val="none"/>
              </w:rPr>
            </w:pPr>
            <w:r>
              <w:rPr>
                <w:rFonts w:hint="eastAsia" w:ascii="宋体" w:hAnsi="宋体" w:cs="宋体"/>
                <w:color w:val="auto"/>
                <w:kern w:val="0"/>
                <w:highlight w:val="none"/>
              </w:rPr>
              <w:t>3</w:t>
            </w:r>
          </w:p>
        </w:tc>
        <w:tc>
          <w:tcPr>
            <w:tcW w:w="620" w:type="pct"/>
            <w:vAlign w:val="center"/>
          </w:tcPr>
          <w:p>
            <w:pPr>
              <w:keepNext w:val="0"/>
              <w:keepLines w:val="0"/>
              <w:widowControl/>
              <w:suppressLineNumbers w:val="0"/>
              <w:spacing w:before="0" w:beforeAutospacing="0" w:after="0" w:afterAutospacing="0"/>
              <w:ind w:left="0" w:right="0"/>
              <w:jc w:val="center"/>
              <w:rPr>
                <w:rFonts w:hint="default" w:ascii="宋体" w:hAnsi="宋体" w:cs="宋体"/>
                <w:color w:val="auto"/>
                <w:kern w:val="0"/>
                <w:highlight w:val="none"/>
              </w:rPr>
            </w:pPr>
            <w:r>
              <w:rPr>
                <w:rFonts w:hint="default" w:ascii="宋体" w:hAnsi="宋体" w:cs="宋体"/>
                <w:color w:val="auto"/>
                <w:kern w:val="0"/>
                <w:highlight w:val="none"/>
              </w:rPr>
              <w:t>20</w:t>
            </w:r>
          </w:p>
        </w:tc>
        <w:tc>
          <w:tcPr>
            <w:tcW w:w="3917" w:type="pct"/>
            <w:vAlign w:val="center"/>
          </w:tcPr>
          <w:p>
            <w:pPr>
              <w:keepNext w:val="0"/>
              <w:keepLines w:val="0"/>
              <w:widowControl/>
              <w:suppressLineNumbers w:val="0"/>
              <w:spacing w:before="0" w:beforeAutospacing="0" w:after="0" w:afterAutospacing="0" w:line="360" w:lineRule="auto"/>
              <w:ind w:left="0" w:right="0" w:firstLine="420" w:firstLineChars="200"/>
              <w:jc w:val="left"/>
              <w:rPr>
                <w:rFonts w:hint="default" w:ascii="宋体" w:hAnsi="宋体" w:cs="宋体"/>
                <w:color w:val="auto"/>
                <w:kern w:val="0"/>
                <w:highlight w:val="none"/>
              </w:rPr>
            </w:pPr>
            <w:r>
              <w:rPr>
                <w:rFonts w:hint="eastAsia" w:ascii="宋体" w:hAnsi="宋体" w:cs="宋体"/>
                <w:color w:val="auto"/>
                <w:kern w:val="0"/>
                <w:highlight w:val="none"/>
              </w:rPr>
              <w:t>项目初验合格后，5个工作日内采购人</w:t>
            </w:r>
            <w:r>
              <w:rPr>
                <w:rFonts w:hint="default" w:ascii="宋体" w:hAnsi="宋体" w:cs="宋体"/>
                <w:color w:val="auto"/>
                <w:kern w:val="0"/>
                <w:highlight w:val="none"/>
              </w:rPr>
              <w:t>向</w:t>
            </w:r>
            <w:r>
              <w:rPr>
                <w:rFonts w:hint="eastAsia" w:ascii="宋体" w:hAnsi="宋体" w:cs="宋体"/>
                <w:color w:val="auto"/>
                <w:kern w:val="0"/>
                <w:highlight w:val="none"/>
              </w:rPr>
              <w:t>成交人</w:t>
            </w:r>
            <w:r>
              <w:rPr>
                <w:rFonts w:hint="default" w:ascii="宋体" w:hAnsi="宋体" w:cs="宋体"/>
                <w:color w:val="auto"/>
                <w:kern w:val="0"/>
                <w:highlight w:val="none"/>
              </w:rPr>
              <w:t>支付合同金额的20</w:t>
            </w:r>
            <w:r>
              <w:rPr>
                <w:rFonts w:hint="eastAsia" w:ascii="宋体" w:hAnsi="宋体" w:cs="宋体"/>
                <w:color w:val="auto"/>
                <w:kern w:val="0"/>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0" w:type="dxa"/>
        </w:trPr>
        <w:tc>
          <w:tcPr>
            <w:tcW w:w="461" w:type="pct"/>
            <w:vAlign w:val="center"/>
          </w:tcPr>
          <w:p>
            <w:pPr>
              <w:keepNext w:val="0"/>
              <w:keepLines w:val="0"/>
              <w:widowControl/>
              <w:suppressLineNumbers w:val="0"/>
              <w:spacing w:before="0" w:beforeAutospacing="0" w:after="0" w:afterAutospacing="0"/>
              <w:ind w:left="0" w:right="0"/>
              <w:jc w:val="center"/>
              <w:rPr>
                <w:rFonts w:hint="default" w:ascii="宋体" w:hAnsi="宋体" w:cs="宋体"/>
                <w:color w:val="auto"/>
                <w:kern w:val="0"/>
                <w:highlight w:val="none"/>
              </w:rPr>
            </w:pPr>
            <w:r>
              <w:rPr>
                <w:rFonts w:hint="default" w:ascii="宋体" w:hAnsi="宋体" w:cs="宋体"/>
                <w:color w:val="auto"/>
                <w:kern w:val="0"/>
                <w:highlight w:val="none"/>
              </w:rPr>
              <w:t>4</w:t>
            </w:r>
          </w:p>
        </w:tc>
        <w:tc>
          <w:tcPr>
            <w:tcW w:w="620" w:type="pct"/>
            <w:vAlign w:val="center"/>
          </w:tcPr>
          <w:p>
            <w:pPr>
              <w:keepNext w:val="0"/>
              <w:keepLines w:val="0"/>
              <w:widowControl/>
              <w:suppressLineNumbers w:val="0"/>
              <w:spacing w:before="0" w:beforeAutospacing="0" w:after="0" w:afterAutospacing="0"/>
              <w:ind w:left="0" w:right="0"/>
              <w:jc w:val="center"/>
              <w:rPr>
                <w:rFonts w:hint="default" w:ascii="宋体" w:hAnsi="宋体" w:cs="宋体"/>
                <w:color w:val="auto"/>
                <w:kern w:val="0"/>
                <w:highlight w:val="none"/>
              </w:rPr>
            </w:pPr>
            <w:r>
              <w:rPr>
                <w:rFonts w:hint="eastAsia" w:ascii="宋体" w:hAnsi="宋体" w:cs="宋体"/>
                <w:color w:val="auto"/>
                <w:kern w:val="0"/>
                <w:highlight w:val="none"/>
              </w:rPr>
              <w:t>10</w:t>
            </w:r>
          </w:p>
        </w:tc>
        <w:tc>
          <w:tcPr>
            <w:tcW w:w="3917" w:type="pct"/>
            <w:vAlign w:val="center"/>
          </w:tcPr>
          <w:p>
            <w:pPr>
              <w:keepNext w:val="0"/>
              <w:keepLines w:val="0"/>
              <w:widowControl/>
              <w:suppressLineNumbers w:val="0"/>
              <w:spacing w:before="0" w:beforeAutospacing="0" w:after="0" w:afterAutospacing="0" w:line="360" w:lineRule="auto"/>
              <w:ind w:left="0" w:right="0" w:firstLine="420" w:firstLineChars="200"/>
              <w:jc w:val="left"/>
              <w:rPr>
                <w:rFonts w:hint="default" w:ascii="宋体" w:hAnsi="宋体" w:cs="宋体"/>
                <w:color w:val="auto"/>
                <w:kern w:val="0"/>
                <w:highlight w:val="none"/>
              </w:rPr>
            </w:pPr>
            <w:r>
              <w:rPr>
                <w:rFonts w:hint="eastAsia" w:ascii="宋体" w:hAnsi="宋体" w:cs="宋体"/>
                <w:color w:val="auto"/>
                <w:kern w:val="0"/>
                <w:highlight w:val="none"/>
              </w:rPr>
              <w:t>项目终验合格后，5个工作日内采购人</w:t>
            </w:r>
            <w:r>
              <w:rPr>
                <w:rFonts w:hint="default" w:ascii="宋体" w:hAnsi="宋体" w:cs="宋体"/>
                <w:color w:val="auto"/>
                <w:kern w:val="0"/>
                <w:highlight w:val="none"/>
              </w:rPr>
              <w:t>向</w:t>
            </w:r>
            <w:r>
              <w:rPr>
                <w:rFonts w:hint="eastAsia" w:ascii="宋体" w:hAnsi="宋体" w:cs="宋体"/>
                <w:color w:val="auto"/>
                <w:kern w:val="0"/>
                <w:highlight w:val="none"/>
              </w:rPr>
              <w:t>成交人</w:t>
            </w:r>
            <w:r>
              <w:rPr>
                <w:rFonts w:hint="default" w:ascii="宋体" w:hAnsi="宋体" w:cs="宋体"/>
                <w:color w:val="auto"/>
                <w:kern w:val="0"/>
                <w:highlight w:val="none"/>
              </w:rPr>
              <w:t>支付合同金额的</w:t>
            </w:r>
            <w:r>
              <w:rPr>
                <w:rFonts w:hint="eastAsia" w:ascii="宋体" w:hAnsi="宋体" w:cs="宋体"/>
                <w:color w:val="auto"/>
                <w:kern w:val="0"/>
                <w:highlight w:val="none"/>
              </w:rPr>
              <w:t>10%。</w:t>
            </w:r>
          </w:p>
        </w:tc>
      </w:tr>
    </w:tbl>
    <w:p>
      <w:pPr>
        <w:pStyle w:val="2"/>
        <w:rPr>
          <w:color w:val="auto"/>
          <w:highlight w:val="none"/>
        </w:rPr>
      </w:pPr>
    </w:p>
    <w:p>
      <w:pPr>
        <w:widowControl/>
        <w:numPr>
          <w:ilvl w:val="255"/>
          <w:numId w:val="0"/>
        </w:numPr>
        <w:spacing w:before="180" w:line="440" w:lineRule="exact"/>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5、履约保证金：否。</w:t>
      </w:r>
    </w:p>
    <w:p>
      <w:pPr>
        <w:spacing w:line="500" w:lineRule="exact"/>
        <w:ind w:left="525" w:leftChars="200" w:hanging="105" w:hangingChars="50"/>
        <w:rPr>
          <w:rFonts w:ascii="宋体" w:hAnsi="宋体" w:cs="宋体"/>
          <w:color w:val="auto"/>
          <w:highlight w:val="none"/>
        </w:rPr>
      </w:pPr>
      <w:r>
        <w:rPr>
          <w:rFonts w:hint="eastAsia" w:ascii="宋体" w:hAnsi="宋体" w:cs="宋体"/>
          <w:color w:val="auto"/>
          <w:highlight w:val="none"/>
        </w:rPr>
        <w:t>6、验收</w:t>
      </w:r>
    </w:p>
    <w:p>
      <w:pPr>
        <w:spacing w:line="500" w:lineRule="exact"/>
        <w:ind w:firstLine="437"/>
        <w:rPr>
          <w:rFonts w:ascii="宋体" w:hAnsi="宋体" w:cs="宋体"/>
          <w:color w:val="auto"/>
          <w:szCs w:val="21"/>
          <w:highlight w:val="none"/>
        </w:rPr>
      </w:pPr>
      <w:r>
        <w:rPr>
          <w:rFonts w:hint="eastAsia" w:ascii="宋体" w:hAnsi="宋体" w:cs="宋体"/>
          <w:color w:val="auto"/>
          <w:highlight w:val="none"/>
        </w:rPr>
        <w:t>（1）货物验收标准</w:t>
      </w:r>
      <w:r>
        <w:rPr>
          <w:rFonts w:hint="eastAsia" w:ascii="宋体" w:hAnsi="宋体" w:cs="宋体"/>
          <w:color w:val="auto"/>
          <w:szCs w:val="21"/>
          <w:highlight w:val="none"/>
        </w:rPr>
        <w:t>货物按厂家产品验收标准(符合国家或行业或地方标准)、磋商文件、响应文件等有关部分内容进行验收。成交供应商交付的所有货物质量应符合国家相关部门规定的标准，如发现质量问题，按有关规定执行。产品质量达到设计要求，各项指标符合技术参数要求且须通过质检、计量部门的检验，以确保使用安全有效。</w:t>
      </w:r>
    </w:p>
    <w:p>
      <w:pPr>
        <w:spacing w:line="500" w:lineRule="exact"/>
        <w:ind w:firstLine="437"/>
        <w:rPr>
          <w:rFonts w:ascii="宋体" w:hAnsi="宋体" w:cs="宋体"/>
          <w:color w:val="auto"/>
          <w:szCs w:val="21"/>
          <w:highlight w:val="none"/>
        </w:rPr>
      </w:pPr>
      <w:r>
        <w:rPr>
          <w:rFonts w:hint="eastAsia" w:ascii="宋体" w:hAnsi="宋体" w:cs="宋体"/>
          <w:color w:val="auto"/>
          <w:szCs w:val="21"/>
          <w:highlight w:val="none"/>
        </w:rPr>
        <w:t>（2）验收程序和方法</w:t>
      </w:r>
    </w:p>
    <w:p>
      <w:pPr>
        <w:spacing w:line="500" w:lineRule="exact"/>
        <w:ind w:firstLine="437"/>
        <w:rPr>
          <w:rFonts w:ascii="宋体" w:hAnsi="宋体" w:cs="宋体"/>
          <w:color w:val="auto"/>
          <w:szCs w:val="21"/>
          <w:highlight w:val="none"/>
        </w:rPr>
      </w:pPr>
      <w:r>
        <w:rPr>
          <w:rFonts w:hint="eastAsia" w:ascii="宋体" w:hAnsi="宋体" w:cs="宋体"/>
          <w:color w:val="auto"/>
          <w:szCs w:val="21"/>
          <w:highlight w:val="none"/>
        </w:rPr>
        <w:t>成交供应商在产品出厂前，应按产品技术标准规定的检验项目和检验方法进行全面检验，结果必须符合验收标准的要求。货物配送到采购人指定地点后，要求成交供应商对所有货物的进行自检，检验结果必须符合磋商文件技术服务要求以及合同中相关条款，如有必要应向采购人提供自检记录。</w:t>
      </w:r>
    </w:p>
    <w:p>
      <w:pPr>
        <w:spacing w:line="500" w:lineRule="exact"/>
        <w:ind w:firstLine="437"/>
        <w:rPr>
          <w:rFonts w:ascii="宋体" w:hAnsi="宋体" w:cs="宋体"/>
          <w:color w:val="auto"/>
          <w:szCs w:val="21"/>
          <w:highlight w:val="none"/>
        </w:rPr>
      </w:pPr>
      <w:r>
        <w:rPr>
          <w:rFonts w:hint="eastAsia" w:ascii="宋体" w:hAnsi="宋体" w:cs="宋体"/>
          <w:color w:val="auto"/>
          <w:szCs w:val="21"/>
          <w:highlight w:val="none"/>
        </w:rPr>
        <w:t>成交供应商自检后，成交供应商与采购人按磋商文件以及合同相关条款要求一同对货物进行验收，验收结果应符合采购人使用要求。若发现货物未符合磋商文件及合同相关条款要求，成交供应商</w:t>
      </w:r>
      <w:r>
        <w:rPr>
          <w:rFonts w:hint="eastAsia" w:ascii="宋体" w:hAnsi="宋体" w:cs="宋体"/>
          <w:b/>
          <w:bCs/>
          <w:color w:val="auto"/>
          <w:szCs w:val="21"/>
          <w:highlight w:val="none"/>
        </w:rPr>
        <w:t>需立即进行整改</w:t>
      </w:r>
      <w:r>
        <w:rPr>
          <w:rFonts w:hint="eastAsia" w:ascii="宋体" w:hAnsi="宋体" w:cs="宋体"/>
          <w:color w:val="auto"/>
          <w:szCs w:val="21"/>
          <w:highlight w:val="none"/>
        </w:rPr>
        <w:t>；对进货开箱时发现的破损、近效期品种、其他不合格包装品种，成交供应商</w:t>
      </w:r>
      <w:r>
        <w:rPr>
          <w:rFonts w:hint="eastAsia" w:ascii="宋体" w:hAnsi="宋体" w:cs="宋体"/>
          <w:b/>
          <w:bCs/>
          <w:color w:val="auto"/>
          <w:szCs w:val="21"/>
          <w:highlight w:val="none"/>
        </w:rPr>
        <w:t>需及时予以更换。</w:t>
      </w:r>
      <w:r>
        <w:rPr>
          <w:rFonts w:hint="eastAsia" w:ascii="宋体" w:hAnsi="宋体" w:cs="宋体"/>
          <w:color w:val="auto"/>
          <w:szCs w:val="21"/>
          <w:highlight w:val="none"/>
        </w:rPr>
        <w:t>若成交供应商未对不符合磋商文件及合同相关条款要求的货物进行整改，或是对符合上述须更换货物情形之一的而未及时予以更换，或者通过检测（或在实际使用中）证明成交供应商提供的货物确实存在质量的，采购人有权拒绝接受，并要求成交人支付</w:t>
      </w:r>
      <w:r>
        <w:rPr>
          <w:rFonts w:hint="eastAsia" w:ascii="宋体" w:hAnsi="宋体" w:cs="宋体"/>
          <w:bCs/>
          <w:color w:val="auto"/>
          <w:szCs w:val="21"/>
          <w:highlight w:val="none"/>
          <w:lang w:bidi="ar"/>
        </w:rPr>
        <w:t>相应的赔偿</w:t>
      </w:r>
      <w:r>
        <w:rPr>
          <w:rFonts w:hint="eastAsia" w:ascii="宋体" w:hAnsi="宋体" w:cs="宋体"/>
          <w:color w:val="auto"/>
          <w:szCs w:val="21"/>
          <w:highlight w:val="none"/>
        </w:rPr>
        <w:t>，造成严重后果的可</w:t>
      </w:r>
      <w:r>
        <w:rPr>
          <w:rFonts w:hint="eastAsia" w:ascii="宋体" w:hAnsi="宋体" w:cs="宋体"/>
          <w:bCs/>
          <w:color w:val="auto"/>
          <w:szCs w:val="21"/>
          <w:highlight w:val="none"/>
          <w:lang w:bidi="ar"/>
        </w:rPr>
        <w:t>要求解除合同</w:t>
      </w:r>
      <w:r>
        <w:rPr>
          <w:rFonts w:hint="eastAsia" w:ascii="宋体" w:hAnsi="宋体" w:cs="宋体"/>
          <w:color w:val="auto"/>
          <w:szCs w:val="21"/>
          <w:highlight w:val="none"/>
        </w:rPr>
        <w:t>。</w:t>
      </w:r>
    </w:p>
    <w:p>
      <w:pPr>
        <w:widowControl/>
        <w:spacing w:before="75" w:after="75" w:line="440" w:lineRule="atLeast"/>
        <w:ind w:firstLine="420" w:firstLineChars="200"/>
        <w:jc w:val="left"/>
        <w:rPr>
          <w:rFonts w:ascii="宋体" w:hAnsi="宋体" w:cs="宋体"/>
          <w:bCs/>
          <w:color w:val="auto"/>
          <w:kern w:val="0"/>
          <w:szCs w:val="21"/>
          <w:highlight w:val="none"/>
          <w:lang w:bidi="ar"/>
        </w:rPr>
      </w:pPr>
      <w:r>
        <w:rPr>
          <w:rFonts w:hint="eastAsia" w:ascii="宋体" w:hAnsi="宋体" w:cs="宋体"/>
          <w:bCs/>
          <w:color w:val="auto"/>
          <w:kern w:val="0"/>
          <w:szCs w:val="21"/>
          <w:highlight w:val="none"/>
          <w:lang w:bidi="ar"/>
        </w:rPr>
        <w:t>7、保修期及售后服务</w:t>
      </w:r>
    </w:p>
    <w:p>
      <w:pPr>
        <w:widowControl/>
        <w:spacing w:line="500" w:lineRule="exact"/>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1）技术参数中有另行要求的除外，该项目质保期从验收合格交付使用之日起算，原则上该项目中的所有设备、标的质保期为1年（相关设备厂家若有更长质量保修期限规定的从其规定）；与国家权威部门质量保修期限规定有冲突的，从其规定。</w:t>
      </w:r>
    </w:p>
    <w:p>
      <w:pPr>
        <w:widowControl/>
        <w:spacing w:line="500" w:lineRule="exact"/>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 xml:space="preserve">   （2）质保期内，非因操作不当造成产品故障由成交人负责包修、包换。成交人在保修期内须提供上门维修服务，并进行终身维护。如保修期内同一故障发生三次，或在两个月内无法修复，成交人无条件换货。</w:t>
      </w:r>
    </w:p>
    <w:p>
      <w:pPr>
        <w:widowControl/>
        <w:spacing w:line="500" w:lineRule="exact"/>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 xml:space="preserve">   （3）保修期满前1个月内成交人应负责对产品进行一次全面检查，如发现潜在问题，应负责排除，保证产品正常运行。该费用并入供应商投标报价内，采购人后续不再针对上述情况支付额外费用。如有因维修不到位而给采购人造成的损失，采购人有权要求供应商赔偿。</w:t>
      </w:r>
    </w:p>
    <w:p>
      <w:pPr>
        <w:widowControl/>
        <w:spacing w:line="500" w:lineRule="exact"/>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 xml:space="preserve">   （4）成交人应结合货物安装、调试、试运行、最终验收等各阶段，对采购人的技术人员就有关货物安装、维护、操作使用等方面进行技术培训，直到受训人员能基本掌握货物的配置、使用及简单维护，且能熟练独立操作。</w:t>
      </w:r>
    </w:p>
    <w:p>
      <w:pPr>
        <w:widowControl/>
        <w:spacing w:line="500" w:lineRule="exact"/>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 xml:space="preserve">   （5）成交人可视自身能力，在响应文件中提供更优、更合理的质保、维修、售后服务承诺。</w:t>
      </w:r>
    </w:p>
    <w:p>
      <w:pPr>
        <w:widowControl/>
        <w:spacing w:before="180" w:line="345" w:lineRule="atLeast"/>
        <w:ind w:firstLine="316" w:firstLineChars="150"/>
        <w:jc w:val="left"/>
        <w:rPr>
          <w:rFonts w:ascii="宋体" w:hAnsi="宋体" w:cs="宋体"/>
          <w:b/>
          <w:color w:val="auto"/>
          <w:kern w:val="0"/>
          <w:szCs w:val="21"/>
          <w:highlight w:val="none"/>
        </w:rPr>
      </w:pPr>
      <w:r>
        <w:rPr>
          <w:rFonts w:hint="eastAsia" w:ascii="宋体" w:hAnsi="宋体" w:cs="宋体"/>
          <w:b/>
          <w:color w:val="auto"/>
          <w:kern w:val="0"/>
          <w:szCs w:val="21"/>
          <w:highlight w:val="none"/>
        </w:rPr>
        <w:t>四、其他事项（★以下内容均为不允许负偏离的实质性要求）</w:t>
      </w:r>
    </w:p>
    <w:p>
      <w:pPr>
        <w:spacing w:line="500" w:lineRule="exact"/>
        <w:ind w:firstLine="420" w:firstLineChars="200"/>
        <w:rPr>
          <w:rFonts w:hint="eastAsia" w:ascii="宋体" w:hAnsi="宋体" w:eastAsia="宋体" w:cs="Times New Roman"/>
          <w:color w:val="auto"/>
          <w:szCs w:val="21"/>
          <w:highlight w:val="none"/>
        </w:rPr>
      </w:pPr>
      <w:r>
        <w:rPr>
          <w:rFonts w:hint="eastAsia" w:ascii="宋体" w:hAnsi="宋体" w:eastAsia="宋体" w:cs="Times New Roman"/>
          <w:color w:val="auto"/>
          <w:szCs w:val="21"/>
          <w:highlight w:val="none"/>
        </w:rPr>
        <w:t>1、</w:t>
      </w:r>
      <w:r>
        <w:rPr>
          <w:rFonts w:hint="eastAsia" w:ascii="宋体" w:hAnsi="宋体" w:eastAsia="宋体" w:cs="Times New Roman"/>
          <w:color w:val="auto"/>
          <w:highlight w:val="none"/>
        </w:rPr>
        <w:t>供应商向采购人提供标的所需特殊专用的工具、备件、清单、中文说明书、运输装卸、服务、培训及验收等费用并入报价内。</w:t>
      </w:r>
    </w:p>
    <w:p>
      <w:pPr>
        <w:spacing w:line="500" w:lineRule="exact"/>
        <w:ind w:firstLine="420" w:firstLineChars="200"/>
        <w:rPr>
          <w:rFonts w:ascii="宋体" w:hAnsi="宋体" w:eastAsia="宋体" w:cs="Times New Roman"/>
          <w:color w:val="auto"/>
          <w:szCs w:val="21"/>
          <w:highlight w:val="none"/>
        </w:rPr>
      </w:pPr>
      <w:r>
        <w:rPr>
          <w:rFonts w:hint="eastAsia" w:ascii="宋体" w:hAnsi="宋体" w:eastAsia="宋体" w:cs="Times New Roman"/>
          <w:color w:val="auto"/>
          <w:szCs w:val="21"/>
          <w:highlight w:val="none"/>
          <w:lang w:val="en-US" w:eastAsia="zh-CN"/>
        </w:rPr>
        <w:t>2、本项目不允许成交人以任何名义和理由进行转包，如有发现，采购人有权单方终止合同，视为成交人违约。</w:t>
      </w:r>
      <w:r>
        <w:rPr>
          <w:rFonts w:hint="eastAsia" w:ascii="宋体" w:hAnsi="宋体" w:eastAsia="宋体" w:cs="Times New Roman"/>
          <w:b/>
          <w:bCs/>
          <w:color w:val="auto"/>
          <w:szCs w:val="21"/>
          <w:highlight w:val="none"/>
          <w:lang w:val="en-US" w:eastAsia="zh-CN"/>
        </w:rPr>
        <w:t>若供应商对本磋商文件有效响应，但成交后若发现其实际情况或其在履约过程中存在与其投标（磋商）响应内容不符之处，视为提供虚假材料，成交无效；合同签署后发现，视为成交人违约，</w:t>
      </w:r>
      <w:r>
        <w:rPr>
          <w:rFonts w:hint="eastAsia" w:ascii="宋体" w:hAnsi="宋体" w:eastAsia="宋体" w:cs="Times New Roman"/>
          <w:color w:val="auto"/>
          <w:szCs w:val="21"/>
          <w:highlight w:val="none"/>
          <w:lang w:val="en-US" w:eastAsia="zh-CN"/>
        </w:rPr>
        <w:t>采购人有权取消采购合同，如采购人因此而遭致损失的，还应赔偿该损失。如因成交人缘故对采购人造成损失的，成交人还需支付相应的赔偿。</w:t>
      </w:r>
    </w:p>
    <w:p>
      <w:pPr>
        <w:spacing w:line="500" w:lineRule="exact"/>
        <w:ind w:firstLine="420" w:firstLineChars="200"/>
        <w:rPr>
          <w:rFonts w:hint="eastAsia" w:ascii="宋体" w:hAnsi="宋体" w:eastAsia="宋体" w:cs="Times New Roman"/>
          <w:color w:val="auto"/>
          <w:szCs w:val="21"/>
          <w:highlight w:val="none"/>
        </w:rPr>
      </w:pPr>
      <w:r>
        <w:rPr>
          <w:rFonts w:hint="eastAsia" w:ascii="宋体" w:hAnsi="宋体" w:eastAsia="宋体" w:cs="Times New Roman"/>
          <w:color w:val="auto"/>
          <w:szCs w:val="21"/>
          <w:highlight w:val="none"/>
        </w:rPr>
        <w:t>3、</w:t>
      </w:r>
      <w:r>
        <w:rPr>
          <w:rFonts w:hint="eastAsia" w:ascii="宋体" w:hAnsi="宋体" w:eastAsia="宋体" w:cs="Times New Roman"/>
          <w:color w:val="auto"/>
          <w:szCs w:val="21"/>
          <w:highlight w:val="none"/>
          <w:lang w:val="en-US"/>
        </w:rPr>
        <w:t>除</w:t>
      </w:r>
      <w:r>
        <w:rPr>
          <w:rFonts w:hint="eastAsia" w:ascii="宋体" w:hAnsi="宋体" w:eastAsia="宋体" w:cs="Times New Roman"/>
          <w:color w:val="auto"/>
          <w:szCs w:val="21"/>
          <w:highlight w:val="none"/>
          <w:lang w:val="en-US" w:eastAsia="zh-CN"/>
        </w:rPr>
        <w:t>磋商文件</w:t>
      </w:r>
      <w:r>
        <w:rPr>
          <w:rFonts w:hint="eastAsia" w:ascii="宋体" w:hAnsi="宋体" w:eastAsia="宋体" w:cs="Times New Roman"/>
          <w:color w:val="auto"/>
          <w:szCs w:val="21"/>
          <w:highlight w:val="none"/>
          <w:lang w:val="en-US"/>
        </w:rPr>
        <w:t>另有规定外，若出现有关法律、法规和规章有强制性规定但</w:t>
      </w:r>
      <w:r>
        <w:rPr>
          <w:rFonts w:hint="eastAsia" w:ascii="宋体" w:hAnsi="宋体" w:eastAsia="宋体" w:cs="Times New Roman"/>
          <w:color w:val="auto"/>
          <w:szCs w:val="21"/>
          <w:highlight w:val="none"/>
          <w:lang w:val="en-US" w:eastAsia="zh-CN"/>
        </w:rPr>
        <w:t>磋商文件</w:t>
      </w:r>
      <w:r>
        <w:rPr>
          <w:rFonts w:hint="eastAsia" w:ascii="宋体" w:hAnsi="宋体" w:eastAsia="宋体" w:cs="Times New Roman"/>
          <w:color w:val="auto"/>
          <w:szCs w:val="21"/>
          <w:highlight w:val="none"/>
          <w:lang w:val="en-US"/>
        </w:rPr>
        <w:t>未列明的情形，</w:t>
      </w:r>
      <w:r>
        <w:rPr>
          <w:rFonts w:hint="eastAsia" w:ascii="宋体" w:hAnsi="宋体" w:eastAsia="宋体" w:cs="Times New Roman"/>
          <w:color w:val="auto"/>
          <w:szCs w:val="21"/>
          <w:highlight w:val="none"/>
          <w:lang w:val="en-US" w:eastAsia="zh-CN"/>
        </w:rPr>
        <w:t>供应商</w:t>
      </w:r>
      <w:r>
        <w:rPr>
          <w:rFonts w:hint="eastAsia" w:ascii="宋体" w:hAnsi="宋体" w:eastAsia="宋体" w:cs="Times New Roman"/>
          <w:color w:val="auto"/>
          <w:szCs w:val="21"/>
          <w:highlight w:val="none"/>
          <w:lang w:val="en-US"/>
        </w:rPr>
        <w:t>按照有关法律、法规和规章强制性规定执行。</w:t>
      </w:r>
      <w:r>
        <w:rPr>
          <w:rFonts w:hint="eastAsia" w:ascii="宋体" w:hAnsi="宋体" w:eastAsia="宋体" w:cs="Times New Roman"/>
          <w:color w:val="auto"/>
          <w:szCs w:val="21"/>
          <w:highlight w:val="none"/>
          <w:lang w:eastAsia="zh-CN"/>
        </w:rPr>
        <w:t>若磋商文件</w:t>
      </w:r>
      <w:r>
        <w:rPr>
          <w:rFonts w:hint="eastAsia" w:ascii="宋体" w:hAnsi="宋体" w:eastAsia="宋体" w:cs="Times New Roman"/>
          <w:color w:val="auto"/>
          <w:szCs w:val="21"/>
          <w:highlight w:val="none"/>
        </w:rPr>
        <w:t>未明确</w:t>
      </w:r>
      <w:r>
        <w:rPr>
          <w:rFonts w:hint="eastAsia" w:ascii="宋体" w:hAnsi="宋体" w:eastAsia="宋体" w:cs="Times New Roman"/>
          <w:color w:val="auto"/>
          <w:szCs w:val="21"/>
          <w:highlight w:val="none"/>
          <w:lang w:eastAsia="zh-CN"/>
        </w:rPr>
        <w:t>且无</w:t>
      </w:r>
      <w:r>
        <w:rPr>
          <w:rFonts w:hint="eastAsia" w:ascii="宋体" w:hAnsi="宋体" w:eastAsia="宋体" w:cs="Times New Roman"/>
          <w:color w:val="auto"/>
          <w:szCs w:val="21"/>
          <w:highlight w:val="none"/>
          <w:lang w:val="en-US" w:eastAsia="zh-CN"/>
        </w:rPr>
        <w:t>法律、法规和规章强制性规定的</w:t>
      </w:r>
      <w:r>
        <w:rPr>
          <w:rFonts w:hint="eastAsia" w:ascii="宋体" w:hAnsi="宋体" w:eastAsia="宋体" w:cs="Times New Roman"/>
          <w:color w:val="auto"/>
          <w:szCs w:val="21"/>
          <w:highlight w:val="none"/>
        </w:rPr>
        <w:t>，待采购人与成交人签订合同时，由双方协商订立。</w:t>
      </w:r>
    </w:p>
    <w:p>
      <w:pPr>
        <w:widowControl/>
        <w:spacing w:before="180" w:line="345" w:lineRule="atLeast"/>
        <w:ind w:firstLine="480"/>
        <w:jc w:val="left"/>
        <w:rPr>
          <w:rFonts w:ascii="宋体" w:hAnsi="宋体" w:cs="宋体"/>
          <w:color w:val="auto"/>
          <w:kern w:val="0"/>
          <w:szCs w:val="21"/>
          <w:highlight w:val="none"/>
        </w:rPr>
      </w:pPr>
    </w:p>
    <w:p>
      <w:pPr>
        <w:widowControl/>
        <w:spacing w:before="180" w:line="345" w:lineRule="atLeast"/>
        <w:ind w:firstLine="480"/>
        <w:jc w:val="left"/>
        <w:rPr>
          <w:rFonts w:ascii="宋体" w:hAnsi="宋体" w:cs="宋体"/>
          <w:color w:val="auto"/>
          <w:kern w:val="0"/>
          <w:szCs w:val="21"/>
          <w:highlight w:val="none"/>
        </w:rPr>
      </w:pPr>
    </w:p>
    <w:p>
      <w:pPr>
        <w:pStyle w:val="12"/>
        <w:widowControl/>
        <w:spacing w:before="75" w:beforeAutospacing="0" w:after="75" w:afterAutospacing="0"/>
        <w:jc w:val="center"/>
        <w:outlineLvl w:val="0"/>
        <w:rPr>
          <w:rFonts w:ascii="宋体" w:hAnsi="宋体" w:cs="宋体"/>
          <w:color w:val="auto"/>
          <w:highlight w:val="none"/>
        </w:rPr>
      </w:pPr>
      <w:bookmarkStart w:id="8" w:name="_Toc29723"/>
      <w:r>
        <w:rPr>
          <w:rFonts w:hint="eastAsia" w:ascii="宋体" w:hAnsi="宋体" w:cs="宋体"/>
          <w:color w:val="auto"/>
          <w:sz w:val="21"/>
          <w:szCs w:val="21"/>
          <w:highlight w:val="none"/>
        </w:rPr>
        <w:br w:type="page"/>
      </w:r>
      <w:r>
        <w:rPr>
          <w:rStyle w:val="18"/>
          <w:rFonts w:hint="eastAsia" w:ascii="宋体" w:hAnsi="宋体" w:cs="宋体"/>
          <w:color w:val="auto"/>
          <w:sz w:val="36"/>
          <w:szCs w:val="36"/>
          <w:highlight w:val="none"/>
        </w:rPr>
        <w:t>第四章  合同主要条款及格式</w:t>
      </w:r>
      <w:bookmarkEnd w:id="8"/>
    </w:p>
    <w:p>
      <w:pPr>
        <w:pStyle w:val="12"/>
        <w:widowControl/>
        <w:spacing w:before="75" w:beforeAutospacing="0" w:after="75" w:afterAutospacing="0"/>
        <w:jc w:val="center"/>
        <w:rPr>
          <w:rFonts w:ascii="宋体" w:hAnsi="宋体" w:cs="宋体"/>
          <w:color w:val="auto"/>
          <w:highlight w:val="none"/>
        </w:rPr>
      </w:pPr>
      <w:r>
        <w:rPr>
          <w:rStyle w:val="18"/>
          <w:rFonts w:hint="eastAsia" w:ascii="宋体" w:hAnsi="宋体" w:cs="宋体"/>
          <w:color w:val="auto"/>
          <w:highlight w:val="none"/>
        </w:rPr>
        <w:t>编制说明</w:t>
      </w:r>
    </w:p>
    <w:p>
      <w:pPr>
        <w:pStyle w:val="12"/>
        <w:widowControl/>
        <w:spacing w:before="75" w:beforeAutospacing="0" w:after="75" w:afterAutospacing="0" w:line="435" w:lineRule="atLeast"/>
        <w:rPr>
          <w:rStyle w:val="18"/>
          <w:rFonts w:ascii="宋体" w:hAnsi="宋体" w:cs="宋体"/>
          <w:color w:val="auto"/>
          <w:sz w:val="21"/>
          <w:szCs w:val="21"/>
          <w:highlight w:val="none"/>
        </w:rPr>
      </w:pPr>
      <w:r>
        <w:rPr>
          <w:rStyle w:val="18"/>
          <w:rFonts w:hint="eastAsia" w:ascii="宋体" w:hAnsi="宋体" w:cs="宋体"/>
          <w:color w:val="auto"/>
          <w:sz w:val="21"/>
          <w:szCs w:val="21"/>
          <w:highlight w:val="none"/>
        </w:rPr>
        <w:t>1、签订合同应遵守《中华人民共和国政府采购法》、《中华人民共和国民法典》及相关法律规章。</w:t>
      </w:r>
    </w:p>
    <w:p>
      <w:pPr>
        <w:widowControl/>
        <w:spacing w:line="435" w:lineRule="atLeast"/>
        <w:jc w:val="left"/>
        <w:rPr>
          <w:rStyle w:val="18"/>
          <w:rFonts w:ascii="宋体" w:hAnsi="宋体" w:cs="宋体"/>
          <w:color w:val="auto"/>
          <w:szCs w:val="21"/>
          <w:highlight w:val="none"/>
        </w:rPr>
      </w:pPr>
      <w:r>
        <w:rPr>
          <w:rStyle w:val="18"/>
          <w:rFonts w:hint="eastAsia" w:ascii="宋体" w:hAnsi="宋体" w:cs="宋体"/>
          <w:color w:val="auto"/>
          <w:szCs w:val="21"/>
          <w:highlight w:val="none"/>
        </w:rPr>
        <w:t>2、签订合同时，采购人与成交人应结合磋商文件第三章规定及响应文件有效响应填列相应内容。磋商文件已有明确规定实质性要求的，双方不得变更或调整；招磋商文件未作规定的，双方可通过友好协商进行约定。</w:t>
      </w:r>
      <w:r>
        <w:rPr>
          <w:rFonts w:hint="eastAsia" w:ascii="宋体" w:hAnsi="宋体" w:cs="宋体"/>
          <w:b/>
          <w:bCs/>
          <w:color w:val="auto"/>
          <w:kern w:val="0"/>
          <w:szCs w:val="21"/>
          <w:highlight w:val="none"/>
        </w:rPr>
        <w:t>本章节所附的合同主要条款及格式为参考文本，若文本中的内容与磋商文件第三章规定、响应文件有效响应以及有关法律、法规和规章强制性规定有所冲突，按照磋商文件第三章规定、响应文件有效响应以及有关法律、法规和规章强制性规定执行。</w:t>
      </w:r>
    </w:p>
    <w:p>
      <w:pPr>
        <w:pStyle w:val="12"/>
        <w:widowControl/>
        <w:spacing w:before="75" w:beforeAutospacing="0" w:after="75" w:afterAutospacing="0" w:line="435" w:lineRule="atLeast"/>
        <w:rPr>
          <w:rStyle w:val="18"/>
          <w:rFonts w:ascii="宋体" w:hAnsi="宋体" w:cs="宋体"/>
          <w:color w:val="auto"/>
          <w:sz w:val="21"/>
          <w:szCs w:val="21"/>
          <w:highlight w:val="none"/>
        </w:rPr>
      </w:pPr>
      <w:r>
        <w:rPr>
          <w:rStyle w:val="18"/>
          <w:rFonts w:hint="eastAsia" w:ascii="宋体" w:hAnsi="宋体" w:cs="宋体"/>
          <w:color w:val="auto"/>
          <w:sz w:val="21"/>
          <w:szCs w:val="21"/>
          <w:highlight w:val="none"/>
        </w:rPr>
        <w:t>3、如果因为项目实际特点不能适用，则可由甲乙双方在合同签订阶段可通过友好协商进行约定。国家有关部门对若干合同有规范文本的，可使用相应合同文本，但不得修改磋商文件中既定的实质性条款。</w:t>
      </w:r>
    </w:p>
    <w:p>
      <w:pPr>
        <w:pStyle w:val="12"/>
        <w:widowControl/>
        <w:spacing w:before="75" w:beforeAutospacing="0" w:after="75" w:afterAutospacing="0" w:line="435" w:lineRule="atLeast"/>
        <w:rPr>
          <w:rFonts w:ascii="宋体" w:hAnsi="宋体" w:cs="宋体"/>
          <w:color w:val="auto"/>
          <w:sz w:val="21"/>
          <w:szCs w:val="21"/>
          <w:highlight w:val="none"/>
        </w:rPr>
      </w:pPr>
      <w:r>
        <w:rPr>
          <w:rFonts w:hint="eastAsia" w:ascii="宋体" w:hAnsi="宋体" w:cs="宋体"/>
          <w:color w:val="auto"/>
          <w:sz w:val="21"/>
          <w:szCs w:val="21"/>
          <w:highlight w:val="none"/>
        </w:rPr>
        <w:t>甲方：</w:t>
      </w:r>
      <w:r>
        <w:rPr>
          <w:rFonts w:hint="eastAsia" w:ascii="宋体" w:hAnsi="宋体" w:cs="宋体"/>
          <w:color w:val="auto"/>
          <w:sz w:val="21"/>
          <w:szCs w:val="21"/>
          <w:highlight w:val="none"/>
          <w:u w:val="single"/>
        </w:rPr>
        <w:t>（采购人全称）</w:t>
      </w:r>
    </w:p>
    <w:p>
      <w:pPr>
        <w:pStyle w:val="12"/>
        <w:widowControl/>
        <w:spacing w:before="75" w:beforeAutospacing="0" w:after="75" w:afterAutospacing="0" w:line="435" w:lineRule="atLeast"/>
        <w:rPr>
          <w:rFonts w:ascii="宋体" w:hAnsi="宋体" w:cs="宋体"/>
          <w:color w:val="auto"/>
          <w:sz w:val="21"/>
          <w:szCs w:val="21"/>
          <w:highlight w:val="none"/>
        </w:rPr>
      </w:pPr>
      <w:r>
        <w:rPr>
          <w:rFonts w:hint="eastAsia" w:ascii="宋体" w:hAnsi="宋体" w:cs="宋体"/>
          <w:color w:val="auto"/>
          <w:sz w:val="21"/>
          <w:szCs w:val="21"/>
          <w:highlight w:val="none"/>
        </w:rPr>
        <w:t>乙方：</w:t>
      </w:r>
      <w:r>
        <w:rPr>
          <w:rFonts w:hint="eastAsia" w:ascii="宋体" w:hAnsi="宋体" w:cs="宋体"/>
          <w:color w:val="auto"/>
          <w:sz w:val="21"/>
          <w:szCs w:val="21"/>
          <w:highlight w:val="none"/>
          <w:u w:val="single"/>
        </w:rPr>
        <w:t>（成交供应商全称）</w:t>
      </w:r>
    </w:p>
    <w:p>
      <w:pPr>
        <w:pStyle w:val="12"/>
        <w:widowControl/>
        <w:spacing w:before="75" w:beforeAutospacing="0" w:after="75" w:afterAutospacing="0" w:line="435" w:lineRule="atLeast"/>
        <w:ind w:firstLine="480"/>
        <w:rPr>
          <w:rFonts w:ascii="宋体" w:hAnsi="宋体" w:cs="宋体"/>
          <w:color w:val="auto"/>
          <w:sz w:val="21"/>
          <w:szCs w:val="21"/>
          <w:highlight w:val="none"/>
        </w:rPr>
      </w:pPr>
      <w:r>
        <w:rPr>
          <w:rFonts w:hint="eastAsia" w:ascii="宋体" w:hAnsi="宋体" w:cs="宋体"/>
          <w:color w:val="auto"/>
          <w:sz w:val="21"/>
          <w:szCs w:val="21"/>
          <w:highlight w:val="none"/>
        </w:rPr>
        <w:t>根据项目编号为</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的</w:t>
      </w:r>
      <w:r>
        <w:rPr>
          <w:rFonts w:hint="eastAsia" w:ascii="宋体" w:hAnsi="宋体" w:cs="宋体"/>
          <w:color w:val="auto"/>
          <w:sz w:val="21"/>
          <w:szCs w:val="21"/>
          <w:highlight w:val="none"/>
          <w:u w:val="single"/>
        </w:rPr>
        <w:t>（填写“项目名称”）</w:t>
      </w:r>
      <w:r>
        <w:rPr>
          <w:rFonts w:hint="eastAsia" w:ascii="宋体" w:hAnsi="宋体" w:cs="宋体"/>
          <w:color w:val="auto"/>
          <w:sz w:val="21"/>
          <w:szCs w:val="21"/>
          <w:highlight w:val="none"/>
        </w:rPr>
        <w:t>项目（以下简称：“本项目”）的磋商结果，乙方为成交供应商。现经甲乙双方友好协商，就以下事项达成一致并签订本合同：</w:t>
      </w:r>
    </w:p>
    <w:p>
      <w:pPr>
        <w:pStyle w:val="12"/>
        <w:widowControl/>
        <w:spacing w:before="75" w:beforeAutospacing="0" w:after="75" w:afterAutospacing="0" w:line="435" w:lineRule="atLeast"/>
        <w:ind w:firstLine="480"/>
        <w:rPr>
          <w:rFonts w:ascii="宋体" w:hAnsi="宋体" w:cs="宋体"/>
          <w:color w:val="auto"/>
          <w:sz w:val="21"/>
          <w:szCs w:val="21"/>
          <w:highlight w:val="none"/>
        </w:rPr>
      </w:pPr>
      <w:r>
        <w:rPr>
          <w:rFonts w:hint="eastAsia" w:ascii="宋体" w:hAnsi="宋体" w:cs="宋体"/>
          <w:color w:val="auto"/>
          <w:sz w:val="21"/>
          <w:szCs w:val="21"/>
          <w:highlight w:val="none"/>
        </w:rPr>
        <w:t>1、下列合同文件是构成本合同不可分割的部分：</w:t>
      </w:r>
    </w:p>
    <w:p>
      <w:pPr>
        <w:pStyle w:val="12"/>
        <w:widowControl/>
        <w:spacing w:before="75" w:beforeAutospacing="0" w:after="75" w:afterAutospacing="0" w:line="435" w:lineRule="atLeast"/>
        <w:ind w:firstLine="480"/>
        <w:rPr>
          <w:rFonts w:ascii="宋体" w:hAnsi="宋体" w:cs="宋体"/>
          <w:color w:val="auto"/>
          <w:sz w:val="21"/>
          <w:szCs w:val="21"/>
          <w:highlight w:val="none"/>
        </w:rPr>
      </w:pPr>
      <w:r>
        <w:rPr>
          <w:rFonts w:hint="eastAsia" w:ascii="宋体" w:hAnsi="宋体" w:cs="宋体"/>
          <w:color w:val="auto"/>
          <w:sz w:val="21"/>
          <w:szCs w:val="21"/>
          <w:highlight w:val="none"/>
        </w:rPr>
        <w:t>1.1合同条款；</w:t>
      </w:r>
    </w:p>
    <w:p>
      <w:pPr>
        <w:pStyle w:val="12"/>
        <w:widowControl/>
        <w:spacing w:before="75" w:beforeAutospacing="0" w:after="75" w:afterAutospacing="0" w:line="435" w:lineRule="atLeast"/>
        <w:ind w:firstLine="480"/>
        <w:rPr>
          <w:rFonts w:ascii="宋体" w:hAnsi="宋体" w:cs="宋体"/>
          <w:color w:val="auto"/>
          <w:sz w:val="21"/>
          <w:szCs w:val="21"/>
          <w:highlight w:val="none"/>
        </w:rPr>
      </w:pPr>
      <w:r>
        <w:rPr>
          <w:rFonts w:hint="eastAsia" w:ascii="宋体" w:hAnsi="宋体" w:cs="宋体"/>
          <w:color w:val="auto"/>
          <w:sz w:val="21"/>
          <w:szCs w:val="21"/>
          <w:highlight w:val="none"/>
        </w:rPr>
        <w:t>1.2磋商文件、乙方的响应文件；</w:t>
      </w:r>
    </w:p>
    <w:p>
      <w:pPr>
        <w:pStyle w:val="12"/>
        <w:widowControl/>
        <w:spacing w:before="75" w:beforeAutospacing="0" w:after="75" w:afterAutospacing="0" w:line="435" w:lineRule="atLeast"/>
        <w:ind w:firstLine="480"/>
        <w:rPr>
          <w:rFonts w:ascii="宋体" w:hAnsi="宋体" w:cs="宋体"/>
          <w:color w:val="auto"/>
          <w:sz w:val="21"/>
          <w:szCs w:val="21"/>
          <w:highlight w:val="none"/>
        </w:rPr>
      </w:pPr>
      <w:r>
        <w:rPr>
          <w:rFonts w:hint="eastAsia" w:ascii="宋体" w:hAnsi="宋体" w:cs="宋体"/>
          <w:color w:val="auto"/>
          <w:sz w:val="21"/>
          <w:szCs w:val="21"/>
          <w:highlight w:val="none"/>
        </w:rPr>
        <w:t>1.3其他文件或材料：□无。□</w:t>
      </w:r>
      <w:r>
        <w:rPr>
          <w:rFonts w:hint="eastAsia" w:ascii="宋体" w:hAnsi="宋体" w:cs="宋体"/>
          <w:color w:val="auto"/>
          <w:sz w:val="21"/>
          <w:szCs w:val="21"/>
          <w:highlight w:val="none"/>
          <w:u w:val="single"/>
        </w:rPr>
        <w:t>（根据实际情况填写需要增加的内容）</w:t>
      </w:r>
      <w:r>
        <w:rPr>
          <w:rFonts w:hint="eastAsia" w:ascii="宋体" w:hAnsi="宋体" w:cs="宋体"/>
          <w:color w:val="auto"/>
          <w:sz w:val="21"/>
          <w:szCs w:val="21"/>
          <w:highlight w:val="none"/>
        </w:rPr>
        <w:t>。</w:t>
      </w:r>
    </w:p>
    <w:p>
      <w:pPr>
        <w:pStyle w:val="12"/>
        <w:widowControl/>
        <w:spacing w:before="75" w:beforeAutospacing="0" w:after="75" w:afterAutospacing="0" w:line="435" w:lineRule="atLeast"/>
        <w:ind w:firstLine="480"/>
        <w:rPr>
          <w:rFonts w:ascii="宋体" w:hAnsi="宋体" w:cs="宋体"/>
          <w:color w:val="auto"/>
          <w:sz w:val="21"/>
          <w:szCs w:val="21"/>
          <w:highlight w:val="none"/>
        </w:rPr>
      </w:pPr>
      <w:r>
        <w:rPr>
          <w:rFonts w:hint="eastAsia" w:ascii="宋体" w:hAnsi="宋体" w:cs="宋体"/>
          <w:color w:val="auto"/>
          <w:sz w:val="21"/>
          <w:szCs w:val="21"/>
          <w:highlight w:val="none"/>
        </w:rPr>
        <w:t>2、合同标的</w:t>
      </w:r>
    </w:p>
    <w:p>
      <w:pPr>
        <w:pStyle w:val="12"/>
        <w:widowControl/>
        <w:spacing w:before="75" w:beforeAutospacing="0" w:after="75" w:afterAutospacing="0" w:line="435" w:lineRule="atLeast"/>
        <w:ind w:firstLine="480"/>
        <w:rPr>
          <w:rFonts w:ascii="宋体" w:hAnsi="宋体" w:cs="宋体"/>
          <w:color w:val="auto"/>
          <w:sz w:val="21"/>
          <w:szCs w:val="21"/>
          <w:highlight w:val="none"/>
        </w:rPr>
      </w:pPr>
      <w:r>
        <w:rPr>
          <w:rFonts w:hint="eastAsia" w:ascii="宋体" w:hAnsi="宋体" w:cs="宋体"/>
          <w:color w:val="auto"/>
          <w:sz w:val="21"/>
          <w:szCs w:val="21"/>
          <w:highlight w:val="none"/>
          <w:u w:val="single"/>
        </w:rPr>
        <w:t>（根据实际情况填写，可以是表格或文字描述）</w:t>
      </w:r>
      <w:r>
        <w:rPr>
          <w:rFonts w:hint="eastAsia" w:ascii="宋体" w:hAnsi="宋体" w:cs="宋体"/>
          <w:color w:val="auto"/>
          <w:sz w:val="21"/>
          <w:szCs w:val="21"/>
          <w:highlight w:val="none"/>
        </w:rPr>
        <w:t>。</w:t>
      </w:r>
    </w:p>
    <w:p>
      <w:pPr>
        <w:pStyle w:val="12"/>
        <w:widowControl/>
        <w:spacing w:before="75" w:beforeAutospacing="0" w:after="75" w:afterAutospacing="0" w:line="435" w:lineRule="atLeast"/>
        <w:ind w:firstLine="480"/>
        <w:rPr>
          <w:rFonts w:ascii="宋体" w:hAnsi="宋体" w:cs="宋体"/>
          <w:color w:val="auto"/>
          <w:sz w:val="21"/>
          <w:szCs w:val="21"/>
          <w:highlight w:val="none"/>
        </w:rPr>
      </w:pPr>
      <w:r>
        <w:rPr>
          <w:rFonts w:hint="eastAsia" w:ascii="宋体" w:hAnsi="宋体" w:cs="宋体"/>
          <w:color w:val="auto"/>
          <w:sz w:val="21"/>
          <w:szCs w:val="21"/>
          <w:highlight w:val="none"/>
        </w:rPr>
        <w:t>3、合同总金额</w:t>
      </w:r>
    </w:p>
    <w:p>
      <w:pPr>
        <w:pStyle w:val="12"/>
        <w:widowControl/>
        <w:spacing w:before="75" w:beforeAutospacing="0" w:after="75" w:afterAutospacing="0" w:line="435" w:lineRule="atLeast"/>
        <w:ind w:firstLine="480"/>
        <w:rPr>
          <w:rFonts w:ascii="宋体" w:hAnsi="宋体" w:cs="宋体"/>
          <w:color w:val="auto"/>
          <w:sz w:val="21"/>
          <w:szCs w:val="21"/>
          <w:highlight w:val="none"/>
        </w:rPr>
      </w:pPr>
      <w:r>
        <w:rPr>
          <w:rFonts w:hint="eastAsia" w:ascii="宋体" w:hAnsi="宋体" w:cs="宋体"/>
          <w:color w:val="auto"/>
          <w:sz w:val="21"/>
          <w:szCs w:val="21"/>
          <w:highlight w:val="none"/>
        </w:rPr>
        <w:t>3.1合同总金额为人民币大写：</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元（￥</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w:t>
      </w:r>
    </w:p>
    <w:p>
      <w:pPr>
        <w:pStyle w:val="12"/>
        <w:widowControl/>
        <w:spacing w:before="75" w:beforeAutospacing="0" w:after="75" w:afterAutospacing="0" w:line="435" w:lineRule="atLeast"/>
        <w:ind w:firstLine="480"/>
        <w:rPr>
          <w:rFonts w:ascii="宋体" w:hAnsi="宋体" w:cs="宋体"/>
          <w:color w:val="auto"/>
          <w:sz w:val="21"/>
          <w:szCs w:val="21"/>
          <w:highlight w:val="none"/>
        </w:rPr>
      </w:pPr>
      <w:r>
        <w:rPr>
          <w:rFonts w:hint="eastAsia" w:ascii="宋体" w:hAnsi="宋体" w:cs="宋体"/>
          <w:color w:val="auto"/>
          <w:sz w:val="21"/>
          <w:szCs w:val="21"/>
          <w:highlight w:val="none"/>
        </w:rPr>
        <w:t>4、合同标的交付时间、地点和条件</w:t>
      </w:r>
    </w:p>
    <w:p>
      <w:pPr>
        <w:pStyle w:val="12"/>
        <w:widowControl/>
        <w:spacing w:before="75" w:beforeAutospacing="0" w:after="75" w:afterAutospacing="0" w:line="435" w:lineRule="atLeast"/>
        <w:ind w:firstLine="480"/>
        <w:rPr>
          <w:rFonts w:ascii="宋体" w:hAnsi="宋体" w:cs="宋体"/>
          <w:color w:val="auto"/>
          <w:sz w:val="21"/>
          <w:szCs w:val="21"/>
          <w:highlight w:val="none"/>
        </w:rPr>
      </w:pPr>
      <w:r>
        <w:rPr>
          <w:rFonts w:hint="eastAsia" w:ascii="宋体" w:hAnsi="宋体" w:cs="宋体"/>
          <w:color w:val="auto"/>
          <w:sz w:val="21"/>
          <w:szCs w:val="21"/>
          <w:highlight w:val="none"/>
        </w:rPr>
        <w:t>4.1交付时间：</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w:t>
      </w:r>
    </w:p>
    <w:p>
      <w:pPr>
        <w:pStyle w:val="12"/>
        <w:widowControl/>
        <w:spacing w:before="75" w:beforeAutospacing="0" w:after="75" w:afterAutospacing="0" w:line="435" w:lineRule="atLeast"/>
        <w:ind w:firstLine="480"/>
        <w:rPr>
          <w:rFonts w:ascii="宋体" w:hAnsi="宋体" w:cs="宋体"/>
          <w:color w:val="auto"/>
          <w:sz w:val="21"/>
          <w:szCs w:val="21"/>
          <w:highlight w:val="none"/>
        </w:rPr>
      </w:pPr>
      <w:r>
        <w:rPr>
          <w:rFonts w:hint="eastAsia" w:ascii="宋体" w:hAnsi="宋体" w:cs="宋体"/>
          <w:color w:val="auto"/>
          <w:sz w:val="21"/>
          <w:szCs w:val="21"/>
          <w:highlight w:val="none"/>
        </w:rPr>
        <w:t>4.2交付地点：</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w:t>
      </w:r>
    </w:p>
    <w:p>
      <w:pPr>
        <w:pStyle w:val="12"/>
        <w:widowControl/>
        <w:spacing w:before="75" w:beforeAutospacing="0" w:after="75" w:afterAutospacing="0" w:line="435" w:lineRule="atLeast"/>
        <w:ind w:firstLine="480"/>
        <w:rPr>
          <w:rFonts w:ascii="宋体" w:hAnsi="宋体" w:cs="宋体"/>
          <w:color w:val="auto"/>
          <w:sz w:val="21"/>
          <w:szCs w:val="21"/>
          <w:highlight w:val="none"/>
        </w:rPr>
      </w:pPr>
      <w:r>
        <w:rPr>
          <w:rFonts w:hint="eastAsia" w:ascii="宋体" w:hAnsi="宋体" w:cs="宋体"/>
          <w:color w:val="auto"/>
          <w:sz w:val="21"/>
          <w:szCs w:val="21"/>
          <w:highlight w:val="none"/>
        </w:rPr>
        <w:t>4.3交付条件：</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w:t>
      </w:r>
    </w:p>
    <w:p>
      <w:pPr>
        <w:pStyle w:val="12"/>
        <w:widowControl/>
        <w:spacing w:before="75" w:beforeAutospacing="0" w:after="75" w:afterAutospacing="0" w:line="435" w:lineRule="atLeast"/>
        <w:ind w:firstLine="480"/>
        <w:rPr>
          <w:rFonts w:ascii="宋体" w:hAnsi="宋体" w:cs="宋体"/>
          <w:color w:val="auto"/>
          <w:sz w:val="21"/>
          <w:szCs w:val="21"/>
          <w:highlight w:val="none"/>
        </w:rPr>
      </w:pPr>
      <w:r>
        <w:rPr>
          <w:rFonts w:hint="eastAsia" w:ascii="宋体" w:hAnsi="宋体" w:cs="宋体"/>
          <w:color w:val="auto"/>
          <w:sz w:val="21"/>
          <w:szCs w:val="21"/>
          <w:highlight w:val="none"/>
        </w:rPr>
        <w:t>5、合同标的应符合磋商文件、乙方响应文件的规定或约定，具体如下：</w:t>
      </w:r>
    </w:p>
    <w:p>
      <w:pPr>
        <w:pStyle w:val="12"/>
        <w:widowControl/>
        <w:spacing w:before="75" w:beforeAutospacing="0" w:after="75" w:afterAutospacing="0" w:line="435" w:lineRule="atLeast"/>
        <w:ind w:firstLine="480"/>
        <w:rPr>
          <w:rFonts w:ascii="宋体" w:hAnsi="宋体" w:cs="宋体"/>
          <w:color w:val="auto"/>
          <w:sz w:val="21"/>
          <w:szCs w:val="21"/>
          <w:highlight w:val="none"/>
        </w:rPr>
      </w:pPr>
      <w:r>
        <w:rPr>
          <w:rFonts w:hint="eastAsia" w:ascii="宋体" w:hAnsi="宋体" w:cs="宋体"/>
          <w:color w:val="auto"/>
          <w:sz w:val="21"/>
          <w:szCs w:val="21"/>
          <w:highlight w:val="none"/>
          <w:u w:val="single"/>
        </w:rPr>
        <w:t>（根据实际情况填写，可以是表格或文字描述）</w:t>
      </w:r>
      <w:r>
        <w:rPr>
          <w:rFonts w:hint="eastAsia" w:ascii="宋体" w:hAnsi="宋体" w:cs="宋体"/>
          <w:color w:val="auto"/>
          <w:sz w:val="21"/>
          <w:szCs w:val="21"/>
          <w:highlight w:val="none"/>
        </w:rPr>
        <w:t>。</w:t>
      </w:r>
    </w:p>
    <w:p>
      <w:pPr>
        <w:pStyle w:val="12"/>
        <w:widowControl/>
        <w:spacing w:before="75" w:beforeAutospacing="0" w:after="75" w:afterAutospacing="0" w:line="435" w:lineRule="atLeast"/>
        <w:ind w:firstLine="480"/>
        <w:rPr>
          <w:rFonts w:ascii="宋体" w:hAnsi="宋体" w:cs="宋体"/>
          <w:color w:val="auto"/>
          <w:sz w:val="21"/>
          <w:szCs w:val="21"/>
          <w:highlight w:val="none"/>
        </w:rPr>
      </w:pPr>
      <w:r>
        <w:rPr>
          <w:rFonts w:hint="eastAsia" w:ascii="宋体" w:hAnsi="宋体" w:cs="宋体"/>
          <w:color w:val="auto"/>
          <w:sz w:val="21"/>
          <w:szCs w:val="21"/>
          <w:highlight w:val="none"/>
        </w:rPr>
        <w:t>6、验收</w:t>
      </w:r>
    </w:p>
    <w:p>
      <w:pPr>
        <w:pStyle w:val="12"/>
        <w:widowControl/>
        <w:spacing w:before="75" w:beforeAutospacing="0" w:after="75" w:afterAutospacing="0" w:line="435" w:lineRule="atLeast"/>
        <w:ind w:firstLine="480"/>
        <w:rPr>
          <w:rFonts w:ascii="宋体" w:hAnsi="宋体" w:cs="宋体"/>
          <w:color w:val="auto"/>
          <w:sz w:val="21"/>
          <w:szCs w:val="21"/>
          <w:highlight w:val="none"/>
        </w:rPr>
      </w:pPr>
      <w:r>
        <w:rPr>
          <w:rFonts w:hint="eastAsia" w:ascii="宋体" w:hAnsi="宋体" w:cs="宋体"/>
          <w:color w:val="auto"/>
          <w:sz w:val="21"/>
          <w:szCs w:val="21"/>
          <w:highlight w:val="none"/>
        </w:rPr>
        <w:t>6.1验收应按照磋商文件、乙方响应文件的规定或约定进行，具体如下：</w:t>
      </w:r>
    </w:p>
    <w:p>
      <w:pPr>
        <w:pStyle w:val="12"/>
        <w:widowControl/>
        <w:spacing w:before="75" w:beforeAutospacing="0" w:after="75" w:afterAutospacing="0" w:line="435" w:lineRule="atLeast"/>
        <w:ind w:firstLine="480"/>
        <w:rPr>
          <w:rFonts w:ascii="宋体" w:hAnsi="宋体" w:cs="宋体"/>
          <w:color w:val="auto"/>
          <w:sz w:val="21"/>
          <w:szCs w:val="21"/>
          <w:highlight w:val="none"/>
        </w:rPr>
      </w:pPr>
      <w:r>
        <w:rPr>
          <w:rFonts w:hint="eastAsia" w:ascii="宋体" w:hAnsi="宋体" w:cs="宋体"/>
          <w:color w:val="auto"/>
          <w:sz w:val="21"/>
          <w:szCs w:val="21"/>
          <w:highlight w:val="none"/>
          <w:u w:val="single"/>
        </w:rPr>
        <w:t>（根据实际情况填写，可以是表格或文字描述）</w:t>
      </w:r>
      <w:r>
        <w:rPr>
          <w:rFonts w:hint="eastAsia" w:ascii="宋体" w:hAnsi="宋体" w:cs="宋体"/>
          <w:color w:val="auto"/>
          <w:sz w:val="21"/>
          <w:szCs w:val="21"/>
          <w:highlight w:val="none"/>
        </w:rPr>
        <w:t>。</w:t>
      </w:r>
    </w:p>
    <w:p>
      <w:pPr>
        <w:pStyle w:val="12"/>
        <w:widowControl/>
        <w:spacing w:before="75" w:beforeAutospacing="0" w:after="75" w:afterAutospacing="0" w:line="435" w:lineRule="atLeast"/>
        <w:ind w:firstLine="480"/>
        <w:rPr>
          <w:rFonts w:ascii="宋体" w:hAnsi="宋体" w:cs="宋体"/>
          <w:color w:val="auto"/>
          <w:sz w:val="21"/>
          <w:szCs w:val="21"/>
          <w:highlight w:val="none"/>
        </w:rPr>
      </w:pPr>
      <w:r>
        <w:rPr>
          <w:rFonts w:hint="eastAsia" w:ascii="宋体" w:hAnsi="宋体" w:cs="宋体"/>
          <w:color w:val="auto"/>
          <w:sz w:val="21"/>
          <w:szCs w:val="21"/>
          <w:highlight w:val="none"/>
        </w:rPr>
        <w:t>6.2本项目是否邀请其他供应商参与验收：</w:t>
      </w:r>
    </w:p>
    <w:p>
      <w:pPr>
        <w:pStyle w:val="12"/>
        <w:widowControl/>
        <w:spacing w:before="75" w:beforeAutospacing="0" w:after="75" w:afterAutospacing="0" w:line="435" w:lineRule="atLeast"/>
        <w:ind w:firstLine="480"/>
        <w:rPr>
          <w:rFonts w:ascii="宋体" w:hAnsi="宋体" w:cs="宋体"/>
          <w:color w:val="auto"/>
          <w:sz w:val="21"/>
          <w:szCs w:val="21"/>
          <w:highlight w:val="none"/>
        </w:rPr>
      </w:pPr>
      <w:r>
        <w:rPr>
          <w:rFonts w:hint="eastAsia" w:ascii="宋体" w:hAnsi="宋体" w:cs="宋体"/>
          <w:color w:val="auto"/>
          <w:sz w:val="21"/>
          <w:szCs w:val="21"/>
          <w:highlight w:val="none"/>
        </w:rPr>
        <w:t>□不邀请。□邀请，具体如下：</w:t>
      </w:r>
      <w:r>
        <w:rPr>
          <w:rFonts w:hint="eastAsia" w:ascii="宋体" w:hAnsi="宋体" w:cs="宋体"/>
          <w:color w:val="auto"/>
          <w:sz w:val="21"/>
          <w:szCs w:val="21"/>
          <w:highlight w:val="none"/>
          <w:u w:val="single"/>
        </w:rPr>
        <w:t>（按照磋商文件规定填写）</w:t>
      </w:r>
      <w:r>
        <w:rPr>
          <w:rFonts w:hint="eastAsia" w:ascii="宋体" w:hAnsi="宋体" w:cs="宋体"/>
          <w:color w:val="auto"/>
          <w:sz w:val="21"/>
          <w:szCs w:val="21"/>
          <w:highlight w:val="none"/>
        </w:rPr>
        <w:t>。</w:t>
      </w:r>
    </w:p>
    <w:p>
      <w:pPr>
        <w:pStyle w:val="12"/>
        <w:widowControl/>
        <w:spacing w:before="75" w:beforeAutospacing="0" w:after="75" w:afterAutospacing="0" w:line="435" w:lineRule="atLeast"/>
        <w:ind w:firstLine="480"/>
        <w:rPr>
          <w:rFonts w:ascii="宋体" w:hAnsi="宋体" w:cs="宋体"/>
          <w:color w:val="auto"/>
          <w:sz w:val="21"/>
          <w:szCs w:val="21"/>
          <w:highlight w:val="none"/>
        </w:rPr>
      </w:pPr>
      <w:r>
        <w:rPr>
          <w:rFonts w:hint="eastAsia" w:ascii="宋体" w:hAnsi="宋体" w:cs="宋体"/>
          <w:color w:val="auto"/>
          <w:sz w:val="21"/>
          <w:szCs w:val="21"/>
          <w:highlight w:val="none"/>
        </w:rPr>
        <w:t>7、合同款项的支付应按照磋商文件的规定进行，具体如下：</w:t>
      </w:r>
    </w:p>
    <w:p>
      <w:pPr>
        <w:pStyle w:val="12"/>
        <w:widowControl/>
        <w:spacing w:before="75" w:beforeAutospacing="0" w:after="75" w:afterAutospacing="0" w:line="435" w:lineRule="atLeast"/>
        <w:ind w:firstLine="480"/>
        <w:rPr>
          <w:rFonts w:ascii="宋体" w:hAnsi="宋体" w:cs="宋体"/>
          <w:color w:val="auto"/>
          <w:sz w:val="21"/>
          <w:szCs w:val="21"/>
          <w:highlight w:val="none"/>
        </w:rPr>
      </w:pPr>
      <w:r>
        <w:rPr>
          <w:rFonts w:hint="eastAsia" w:ascii="宋体" w:hAnsi="宋体" w:cs="宋体"/>
          <w:color w:val="auto"/>
          <w:sz w:val="21"/>
          <w:szCs w:val="21"/>
          <w:highlight w:val="none"/>
          <w:u w:val="single"/>
        </w:rPr>
        <w:t>（根据实际情况填写，可以是表格或文字描述，包括一次性支付或分期支付等）</w:t>
      </w:r>
      <w:r>
        <w:rPr>
          <w:rFonts w:hint="eastAsia" w:ascii="宋体" w:hAnsi="宋体" w:cs="宋体"/>
          <w:color w:val="auto"/>
          <w:sz w:val="21"/>
          <w:szCs w:val="21"/>
          <w:highlight w:val="none"/>
        </w:rPr>
        <w:t>。</w:t>
      </w:r>
    </w:p>
    <w:p>
      <w:pPr>
        <w:pStyle w:val="12"/>
        <w:widowControl/>
        <w:spacing w:before="75" w:beforeAutospacing="0" w:after="75" w:afterAutospacing="0" w:line="435" w:lineRule="atLeast"/>
        <w:ind w:firstLine="480"/>
        <w:rPr>
          <w:rFonts w:ascii="宋体" w:hAnsi="宋体" w:cs="宋体"/>
          <w:color w:val="auto"/>
          <w:sz w:val="21"/>
          <w:szCs w:val="21"/>
          <w:highlight w:val="none"/>
        </w:rPr>
      </w:pPr>
      <w:r>
        <w:rPr>
          <w:rFonts w:hint="eastAsia" w:ascii="宋体" w:hAnsi="宋体" w:cs="宋体"/>
          <w:color w:val="auto"/>
          <w:sz w:val="21"/>
          <w:szCs w:val="21"/>
          <w:highlight w:val="none"/>
        </w:rPr>
        <w:t>8、履约保证金</w:t>
      </w:r>
    </w:p>
    <w:p>
      <w:pPr>
        <w:pStyle w:val="12"/>
        <w:widowControl/>
        <w:spacing w:before="75" w:beforeAutospacing="0" w:after="75" w:afterAutospacing="0" w:line="435" w:lineRule="atLeast"/>
        <w:ind w:firstLine="480"/>
        <w:rPr>
          <w:rFonts w:ascii="宋体" w:hAnsi="宋体" w:cs="宋体"/>
          <w:color w:val="auto"/>
          <w:sz w:val="21"/>
          <w:szCs w:val="21"/>
          <w:highlight w:val="none"/>
        </w:rPr>
      </w:pPr>
      <w:r>
        <w:rPr>
          <w:rFonts w:hint="eastAsia" w:ascii="宋体" w:hAnsi="宋体" w:cs="宋体"/>
          <w:color w:val="auto"/>
          <w:sz w:val="21"/>
          <w:szCs w:val="21"/>
          <w:highlight w:val="none"/>
        </w:rPr>
        <w:t>□无。□有，具体如下：</w:t>
      </w:r>
      <w:r>
        <w:rPr>
          <w:rFonts w:hint="eastAsia" w:ascii="宋体" w:hAnsi="宋体" w:cs="宋体"/>
          <w:color w:val="auto"/>
          <w:sz w:val="21"/>
          <w:szCs w:val="21"/>
          <w:highlight w:val="none"/>
          <w:u w:val="single"/>
        </w:rPr>
        <w:t>（按照磋商文件规定填写）</w:t>
      </w:r>
      <w:r>
        <w:rPr>
          <w:rFonts w:hint="eastAsia" w:ascii="宋体" w:hAnsi="宋体" w:cs="宋体"/>
          <w:color w:val="auto"/>
          <w:sz w:val="21"/>
          <w:szCs w:val="21"/>
          <w:highlight w:val="none"/>
        </w:rPr>
        <w:t>。</w:t>
      </w:r>
    </w:p>
    <w:p>
      <w:pPr>
        <w:pStyle w:val="12"/>
        <w:widowControl/>
        <w:spacing w:before="75" w:beforeAutospacing="0" w:after="75" w:afterAutospacing="0" w:line="435" w:lineRule="atLeast"/>
        <w:ind w:firstLine="480"/>
        <w:rPr>
          <w:rFonts w:ascii="宋体" w:hAnsi="宋体" w:cs="宋体"/>
          <w:color w:val="auto"/>
          <w:sz w:val="21"/>
          <w:szCs w:val="21"/>
          <w:highlight w:val="none"/>
        </w:rPr>
      </w:pPr>
      <w:r>
        <w:rPr>
          <w:rFonts w:hint="eastAsia" w:ascii="宋体" w:hAnsi="宋体" w:cs="宋体"/>
          <w:color w:val="auto"/>
          <w:sz w:val="21"/>
          <w:szCs w:val="21"/>
          <w:highlight w:val="none"/>
        </w:rPr>
        <w:t>9、合同有效期</w:t>
      </w:r>
    </w:p>
    <w:p>
      <w:pPr>
        <w:pStyle w:val="12"/>
        <w:widowControl/>
        <w:spacing w:before="75" w:beforeAutospacing="0" w:after="75" w:afterAutospacing="0" w:line="435" w:lineRule="atLeast"/>
        <w:ind w:firstLine="480"/>
        <w:rPr>
          <w:rFonts w:ascii="宋体" w:hAnsi="宋体" w:cs="宋体"/>
          <w:color w:val="auto"/>
          <w:sz w:val="21"/>
          <w:szCs w:val="21"/>
          <w:highlight w:val="none"/>
        </w:rPr>
      </w:pPr>
      <w:r>
        <w:rPr>
          <w:rFonts w:hint="eastAsia" w:ascii="宋体" w:hAnsi="宋体" w:cs="宋体"/>
          <w:color w:val="auto"/>
          <w:sz w:val="21"/>
          <w:szCs w:val="21"/>
          <w:highlight w:val="none"/>
          <w:u w:val="single"/>
        </w:rPr>
        <w:t>（根据实际情况填写，可以是表格或文字描述）</w:t>
      </w:r>
      <w:r>
        <w:rPr>
          <w:rFonts w:hint="eastAsia" w:ascii="宋体" w:hAnsi="宋体" w:cs="宋体"/>
          <w:color w:val="auto"/>
          <w:sz w:val="21"/>
          <w:szCs w:val="21"/>
          <w:highlight w:val="none"/>
        </w:rPr>
        <w:t>。</w:t>
      </w:r>
    </w:p>
    <w:p>
      <w:pPr>
        <w:pStyle w:val="12"/>
        <w:widowControl/>
        <w:spacing w:before="75" w:beforeAutospacing="0" w:after="75" w:afterAutospacing="0" w:line="435" w:lineRule="atLeast"/>
        <w:ind w:firstLine="480"/>
        <w:rPr>
          <w:rFonts w:ascii="宋体" w:hAnsi="宋体" w:cs="宋体"/>
          <w:color w:val="auto"/>
          <w:sz w:val="21"/>
          <w:szCs w:val="21"/>
          <w:highlight w:val="none"/>
        </w:rPr>
      </w:pPr>
      <w:r>
        <w:rPr>
          <w:rFonts w:hint="eastAsia" w:ascii="宋体" w:hAnsi="宋体" w:cs="宋体"/>
          <w:color w:val="auto"/>
          <w:sz w:val="21"/>
          <w:szCs w:val="21"/>
          <w:highlight w:val="none"/>
        </w:rPr>
        <w:t>10、违约责任</w:t>
      </w:r>
    </w:p>
    <w:p>
      <w:pPr>
        <w:pStyle w:val="12"/>
        <w:widowControl/>
        <w:spacing w:before="75" w:beforeAutospacing="0" w:after="75" w:afterAutospacing="0" w:line="435" w:lineRule="atLeast"/>
        <w:ind w:firstLine="480"/>
        <w:rPr>
          <w:rFonts w:ascii="宋体" w:hAnsi="宋体" w:cs="宋体"/>
          <w:color w:val="auto"/>
          <w:sz w:val="21"/>
          <w:szCs w:val="21"/>
          <w:highlight w:val="none"/>
        </w:rPr>
      </w:pPr>
      <w:r>
        <w:rPr>
          <w:rFonts w:hint="eastAsia" w:ascii="宋体" w:hAnsi="宋体" w:cs="宋体"/>
          <w:color w:val="auto"/>
          <w:sz w:val="21"/>
          <w:szCs w:val="21"/>
          <w:highlight w:val="none"/>
          <w:u w:val="single"/>
        </w:rPr>
        <w:t>（根据实际情况填写，可以是表格或文字描述）</w:t>
      </w:r>
      <w:r>
        <w:rPr>
          <w:rFonts w:hint="eastAsia" w:ascii="宋体" w:hAnsi="宋体" w:cs="宋体"/>
          <w:color w:val="auto"/>
          <w:sz w:val="21"/>
          <w:szCs w:val="21"/>
          <w:highlight w:val="none"/>
        </w:rPr>
        <w:t>。</w:t>
      </w:r>
    </w:p>
    <w:p>
      <w:pPr>
        <w:pStyle w:val="12"/>
        <w:widowControl/>
        <w:spacing w:before="75" w:beforeAutospacing="0" w:after="75" w:afterAutospacing="0" w:line="435" w:lineRule="atLeast"/>
        <w:ind w:firstLine="480"/>
        <w:rPr>
          <w:rFonts w:ascii="宋体" w:hAnsi="宋体" w:cs="宋体"/>
          <w:color w:val="auto"/>
          <w:sz w:val="21"/>
          <w:szCs w:val="21"/>
          <w:highlight w:val="none"/>
        </w:rPr>
      </w:pPr>
      <w:r>
        <w:rPr>
          <w:rFonts w:hint="eastAsia" w:ascii="宋体" w:hAnsi="宋体" w:cs="宋体"/>
          <w:color w:val="auto"/>
          <w:sz w:val="21"/>
          <w:szCs w:val="21"/>
          <w:highlight w:val="none"/>
        </w:rPr>
        <w:t>11、知识产权</w:t>
      </w:r>
    </w:p>
    <w:p>
      <w:pPr>
        <w:pStyle w:val="12"/>
        <w:widowControl/>
        <w:spacing w:before="75" w:beforeAutospacing="0" w:after="75" w:afterAutospacing="0" w:line="435" w:lineRule="atLeast"/>
        <w:ind w:firstLine="480"/>
        <w:rPr>
          <w:rFonts w:ascii="宋体" w:hAnsi="宋体" w:cs="宋体"/>
          <w:color w:val="auto"/>
          <w:sz w:val="21"/>
          <w:szCs w:val="21"/>
          <w:highlight w:val="none"/>
        </w:rPr>
      </w:pPr>
      <w:r>
        <w:rPr>
          <w:rFonts w:hint="eastAsia" w:ascii="宋体" w:hAnsi="宋体" w:cs="宋体"/>
          <w:color w:val="auto"/>
          <w:sz w:val="21"/>
          <w:szCs w:val="21"/>
          <w:highlight w:val="none"/>
        </w:rPr>
        <w:t>11.1乙方提供的采购标的应符合国家知识产权法律、法规的规定且非假冒伪劣品；乙方还应保证甲方不受到第三方关于侵犯知识产权及专利权、商标权或工业设计权等知识产权方面的指控，任何第三方如果提出此方面指控均与甲方无关，乙方应与第三方交涉，并承担可能发生的一切法律责任、费用和后果；若甲方因此而遭致损失，则乙方应赔偿该损失。</w:t>
      </w:r>
    </w:p>
    <w:p>
      <w:pPr>
        <w:pStyle w:val="12"/>
        <w:widowControl/>
        <w:spacing w:before="75" w:beforeAutospacing="0" w:after="75" w:afterAutospacing="0" w:line="435" w:lineRule="atLeast"/>
        <w:ind w:firstLine="480"/>
        <w:rPr>
          <w:rFonts w:ascii="宋体" w:hAnsi="宋体" w:cs="宋体"/>
          <w:color w:val="auto"/>
          <w:sz w:val="21"/>
          <w:szCs w:val="21"/>
          <w:highlight w:val="none"/>
        </w:rPr>
      </w:pPr>
      <w:r>
        <w:rPr>
          <w:rFonts w:hint="eastAsia" w:ascii="宋体" w:hAnsi="宋体" w:cs="宋体"/>
          <w:color w:val="auto"/>
          <w:sz w:val="21"/>
          <w:szCs w:val="21"/>
          <w:highlight w:val="none"/>
        </w:rPr>
        <w:t>11.2若乙方提供的采购标的不符合国家知识产权法律、法规的规定或被有关主管机关认定为假冒伪劣品，则乙方中标资格将被取消；甲方还将按照有关法律、法规和规章的规定进行处理，具体如下：</w:t>
      </w:r>
      <w:r>
        <w:rPr>
          <w:rFonts w:hint="eastAsia" w:ascii="宋体" w:hAnsi="宋体" w:cs="宋体"/>
          <w:color w:val="auto"/>
          <w:sz w:val="21"/>
          <w:szCs w:val="21"/>
          <w:highlight w:val="none"/>
          <w:u w:val="single"/>
        </w:rPr>
        <w:t>（根据实际情况填写）</w:t>
      </w:r>
      <w:r>
        <w:rPr>
          <w:rFonts w:hint="eastAsia" w:ascii="宋体" w:hAnsi="宋体" w:cs="宋体"/>
          <w:color w:val="auto"/>
          <w:sz w:val="21"/>
          <w:szCs w:val="21"/>
          <w:highlight w:val="none"/>
        </w:rPr>
        <w:t>。</w:t>
      </w:r>
    </w:p>
    <w:p>
      <w:pPr>
        <w:pStyle w:val="12"/>
        <w:widowControl/>
        <w:spacing w:before="75" w:beforeAutospacing="0" w:after="75" w:afterAutospacing="0" w:line="435" w:lineRule="atLeast"/>
        <w:ind w:firstLine="480"/>
        <w:rPr>
          <w:rFonts w:ascii="宋体" w:hAnsi="宋体" w:cs="宋体"/>
          <w:color w:val="auto"/>
          <w:sz w:val="21"/>
          <w:szCs w:val="21"/>
          <w:highlight w:val="none"/>
        </w:rPr>
      </w:pPr>
      <w:r>
        <w:rPr>
          <w:rFonts w:hint="eastAsia" w:ascii="宋体" w:hAnsi="宋体" w:cs="宋体"/>
          <w:color w:val="auto"/>
          <w:sz w:val="21"/>
          <w:szCs w:val="21"/>
          <w:highlight w:val="none"/>
        </w:rPr>
        <w:t>12、解决争议的方法</w:t>
      </w:r>
    </w:p>
    <w:p>
      <w:pPr>
        <w:pStyle w:val="12"/>
        <w:widowControl/>
        <w:spacing w:before="75" w:beforeAutospacing="0" w:after="75" w:afterAutospacing="0" w:line="435" w:lineRule="atLeast"/>
        <w:ind w:firstLine="480"/>
        <w:rPr>
          <w:rFonts w:ascii="宋体" w:hAnsi="宋体" w:cs="宋体"/>
          <w:color w:val="auto"/>
          <w:sz w:val="21"/>
          <w:szCs w:val="21"/>
          <w:highlight w:val="none"/>
        </w:rPr>
      </w:pPr>
      <w:r>
        <w:rPr>
          <w:rFonts w:hint="eastAsia" w:ascii="宋体" w:hAnsi="宋体" w:cs="宋体"/>
          <w:color w:val="auto"/>
          <w:sz w:val="21"/>
          <w:szCs w:val="21"/>
          <w:highlight w:val="none"/>
        </w:rPr>
        <w:t>12.1甲、乙双方协商解决。</w:t>
      </w:r>
    </w:p>
    <w:p>
      <w:pPr>
        <w:pStyle w:val="12"/>
        <w:widowControl/>
        <w:spacing w:before="75" w:beforeAutospacing="0" w:after="75" w:afterAutospacing="0" w:line="435" w:lineRule="atLeast"/>
        <w:ind w:firstLine="480"/>
        <w:rPr>
          <w:rFonts w:ascii="宋体" w:hAnsi="宋体" w:cs="宋体"/>
          <w:color w:val="auto"/>
          <w:sz w:val="21"/>
          <w:szCs w:val="21"/>
          <w:highlight w:val="none"/>
        </w:rPr>
      </w:pPr>
      <w:r>
        <w:rPr>
          <w:rFonts w:hint="eastAsia" w:ascii="宋体" w:hAnsi="宋体" w:cs="宋体"/>
          <w:color w:val="auto"/>
          <w:sz w:val="21"/>
          <w:szCs w:val="21"/>
          <w:highlight w:val="none"/>
        </w:rPr>
        <w:t>12.2若协商解决不成，则通过下列途径之一解决：</w:t>
      </w:r>
    </w:p>
    <w:p>
      <w:pPr>
        <w:pStyle w:val="12"/>
        <w:widowControl/>
        <w:spacing w:before="75" w:beforeAutospacing="0" w:after="75" w:afterAutospacing="0" w:line="435" w:lineRule="atLeast"/>
        <w:ind w:firstLine="480"/>
        <w:rPr>
          <w:rFonts w:ascii="宋体" w:hAnsi="宋体" w:cs="宋体"/>
          <w:color w:val="auto"/>
          <w:sz w:val="21"/>
          <w:szCs w:val="21"/>
          <w:highlight w:val="none"/>
        </w:rPr>
      </w:pPr>
      <w:r>
        <w:rPr>
          <w:rFonts w:hint="eastAsia" w:ascii="宋体" w:hAnsi="宋体" w:cs="宋体"/>
          <w:color w:val="auto"/>
          <w:sz w:val="21"/>
          <w:szCs w:val="21"/>
          <w:highlight w:val="none"/>
        </w:rPr>
        <w:t>□提交仲裁委员会仲裁，具体如下：</w:t>
      </w:r>
      <w:r>
        <w:rPr>
          <w:rFonts w:hint="eastAsia" w:ascii="宋体" w:hAnsi="宋体" w:cs="宋体"/>
          <w:color w:val="auto"/>
          <w:sz w:val="21"/>
          <w:szCs w:val="21"/>
          <w:highlight w:val="none"/>
          <w:u w:val="single"/>
        </w:rPr>
        <w:t>（根据实际情况填写）</w:t>
      </w:r>
      <w:r>
        <w:rPr>
          <w:rFonts w:hint="eastAsia" w:ascii="宋体" w:hAnsi="宋体" w:cs="宋体"/>
          <w:color w:val="auto"/>
          <w:sz w:val="21"/>
          <w:szCs w:val="21"/>
          <w:highlight w:val="none"/>
        </w:rPr>
        <w:t>。</w:t>
      </w:r>
    </w:p>
    <w:p>
      <w:pPr>
        <w:pStyle w:val="12"/>
        <w:widowControl/>
        <w:spacing w:before="75" w:beforeAutospacing="0" w:after="75" w:afterAutospacing="0" w:line="435" w:lineRule="atLeast"/>
        <w:ind w:firstLine="480"/>
        <w:rPr>
          <w:rFonts w:ascii="宋体" w:hAnsi="宋体" w:cs="宋体"/>
          <w:color w:val="auto"/>
          <w:sz w:val="21"/>
          <w:szCs w:val="21"/>
          <w:highlight w:val="none"/>
        </w:rPr>
      </w:pPr>
      <w:r>
        <w:rPr>
          <w:rFonts w:hint="eastAsia" w:ascii="宋体" w:hAnsi="宋体" w:cs="宋体"/>
          <w:color w:val="auto"/>
          <w:sz w:val="21"/>
          <w:szCs w:val="21"/>
          <w:highlight w:val="none"/>
        </w:rPr>
        <w:t>□向人民法院提起诉讼，具体如下：</w:t>
      </w:r>
      <w:r>
        <w:rPr>
          <w:rFonts w:hint="eastAsia" w:ascii="宋体" w:hAnsi="宋体" w:cs="宋体"/>
          <w:color w:val="auto"/>
          <w:sz w:val="21"/>
          <w:szCs w:val="21"/>
          <w:highlight w:val="none"/>
          <w:u w:val="single"/>
        </w:rPr>
        <w:t>（根据实际情况填写）</w:t>
      </w:r>
      <w:r>
        <w:rPr>
          <w:rFonts w:hint="eastAsia" w:ascii="宋体" w:hAnsi="宋体" w:cs="宋体"/>
          <w:color w:val="auto"/>
          <w:sz w:val="21"/>
          <w:szCs w:val="21"/>
          <w:highlight w:val="none"/>
        </w:rPr>
        <w:t>。</w:t>
      </w:r>
    </w:p>
    <w:p>
      <w:pPr>
        <w:pStyle w:val="12"/>
        <w:widowControl/>
        <w:spacing w:before="75" w:beforeAutospacing="0" w:after="75" w:afterAutospacing="0" w:line="435" w:lineRule="atLeast"/>
        <w:ind w:firstLine="480"/>
        <w:rPr>
          <w:rFonts w:ascii="宋体" w:hAnsi="宋体" w:cs="宋体"/>
          <w:color w:val="auto"/>
          <w:sz w:val="21"/>
          <w:szCs w:val="21"/>
          <w:highlight w:val="none"/>
        </w:rPr>
      </w:pPr>
      <w:r>
        <w:rPr>
          <w:rFonts w:hint="eastAsia" w:ascii="宋体" w:hAnsi="宋体" w:cs="宋体"/>
          <w:color w:val="auto"/>
          <w:sz w:val="21"/>
          <w:szCs w:val="21"/>
          <w:highlight w:val="none"/>
        </w:rPr>
        <w:t>13、不可抗力</w:t>
      </w:r>
    </w:p>
    <w:p>
      <w:pPr>
        <w:pStyle w:val="12"/>
        <w:widowControl/>
        <w:spacing w:before="75" w:beforeAutospacing="0" w:after="75" w:afterAutospacing="0" w:line="435" w:lineRule="atLeast"/>
        <w:ind w:firstLine="480"/>
        <w:rPr>
          <w:rFonts w:ascii="宋体" w:hAnsi="宋体" w:cs="宋体"/>
          <w:color w:val="auto"/>
          <w:sz w:val="21"/>
          <w:szCs w:val="21"/>
          <w:highlight w:val="none"/>
        </w:rPr>
      </w:pPr>
      <w:r>
        <w:rPr>
          <w:rFonts w:hint="eastAsia" w:ascii="宋体" w:hAnsi="宋体" w:cs="宋体"/>
          <w:color w:val="auto"/>
          <w:sz w:val="21"/>
          <w:szCs w:val="21"/>
          <w:highlight w:val="none"/>
        </w:rPr>
        <w:t>13.1因不可抗力造成违约的，遭受不可抗力一方应及时向对方通报不能履行或不能完全履行的理由，并在随后取得有关主管机关证明后的15日内向另一方提供不可抗力发生及持续期间的充分证据。基于以上行为，允许遭受不可抗力一方延期履行、部分履行或不履行合同，并根据情况可部分或全部免于承担违约责任。</w:t>
      </w:r>
    </w:p>
    <w:p>
      <w:pPr>
        <w:pStyle w:val="12"/>
        <w:widowControl/>
        <w:spacing w:before="75" w:beforeAutospacing="0" w:after="75" w:afterAutospacing="0" w:line="435" w:lineRule="atLeast"/>
        <w:ind w:firstLine="480"/>
        <w:rPr>
          <w:rFonts w:ascii="宋体" w:hAnsi="宋体" w:cs="宋体"/>
          <w:color w:val="auto"/>
          <w:sz w:val="21"/>
          <w:szCs w:val="21"/>
          <w:highlight w:val="none"/>
        </w:rPr>
      </w:pPr>
      <w:r>
        <w:rPr>
          <w:rFonts w:hint="eastAsia" w:ascii="宋体" w:hAnsi="宋体" w:cs="宋体"/>
          <w:color w:val="auto"/>
          <w:sz w:val="21"/>
          <w:szCs w:val="21"/>
          <w:highlight w:val="none"/>
        </w:rPr>
        <w:t>13.2本合同中的不可抗力指不能预见、不能避免、不能克服的客观情况，包括但不限于：自然灾害如地震、台风、洪水、火灾及政府行为、法律规定或其适用的变化或其他任何无法预见、避免或控制的事件。</w:t>
      </w:r>
    </w:p>
    <w:p>
      <w:pPr>
        <w:pStyle w:val="12"/>
        <w:widowControl/>
        <w:spacing w:before="75" w:beforeAutospacing="0" w:after="75" w:afterAutospacing="0" w:line="435" w:lineRule="atLeast"/>
        <w:ind w:firstLine="480"/>
        <w:rPr>
          <w:rFonts w:ascii="宋体" w:hAnsi="宋体" w:cs="宋体"/>
          <w:color w:val="auto"/>
          <w:sz w:val="21"/>
          <w:szCs w:val="21"/>
          <w:highlight w:val="none"/>
        </w:rPr>
      </w:pPr>
      <w:r>
        <w:rPr>
          <w:rFonts w:hint="eastAsia" w:ascii="宋体" w:hAnsi="宋体" w:cs="宋体"/>
          <w:color w:val="auto"/>
          <w:sz w:val="21"/>
          <w:szCs w:val="21"/>
          <w:highlight w:val="none"/>
        </w:rPr>
        <w:t>14、合同条款</w:t>
      </w:r>
    </w:p>
    <w:p>
      <w:pPr>
        <w:pStyle w:val="12"/>
        <w:widowControl/>
        <w:spacing w:before="75" w:beforeAutospacing="0" w:after="75" w:afterAutospacing="0" w:line="435" w:lineRule="atLeast"/>
        <w:ind w:firstLine="480"/>
        <w:rPr>
          <w:rFonts w:ascii="宋体" w:hAnsi="宋体" w:cs="宋体"/>
          <w:color w:val="auto"/>
          <w:sz w:val="21"/>
          <w:szCs w:val="21"/>
          <w:highlight w:val="none"/>
        </w:rPr>
      </w:pPr>
      <w:r>
        <w:rPr>
          <w:rFonts w:hint="eastAsia" w:ascii="宋体" w:hAnsi="宋体" w:cs="宋体"/>
          <w:color w:val="auto"/>
          <w:sz w:val="21"/>
          <w:szCs w:val="21"/>
          <w:highlight w:val="none"/>
          <w:u w:val="single"/>
        </w:rPr>
        <w:t>（根据实际情况填写）</w:t>
      </w:r>
      <w:r>
        <w:rPr>
          <w:rFonts w:hint="eastAsia" w:ascii="宋体" w:hAnsi="宋体" w:cs="宋体"/>
          <w:color w:val="auto"/>
          <w:sz w:val="21"/>
          <w:szCs w:val="21"/>
          <w:highlight w:val="none"/>
        </w:rPr>
        <w:t>。</w:t>
      </w:r>
    </w:p>
    <w:p>
      <w:pPr>
        <w:pStyle w:val="12"/>
        <w:widowControl/>
        <w:spacing w:before="75" w:beforeAutospacing="0" w:after="75" w:afterAutospacing="0" w:line="435" w:lineRule="atLeast"/>
        <w:ind w:firstLine="480"/>
        <w:rPr>
          <w:rFonts w:ascii="宋体" w:hAnsi="宋体" w:cs="宋体"/>
          <w:color w:val="auto"/>
          <w:sz w:val="21"/>
          <w:szCs w:val="21"/>
          <w:highlight w:val="none"/>
        </w:rPr>
      </w:pPr>
      <w:r>
        <w:rPr>
          <w:rFonts w:hint="eastAsia" w:ascii="宋体" w:hAnsi="宋体" w:cs="宋体"/>
          <w:color w:val="auto"/>
          <w:sz w:val="21"/>
          <w:szCs w:val="21"/>
          <w:highlight w:val="none"/>
        </w:rPr>
        <w:t>15、其他约定</w:t>
      </w:r>
    </w:p>
    <w:p>
      <w:pPr>
        <w:pStyle w:val="12"/>
        <w:widowControl/>
        <w:spacing w:before="75" w:beforeAutospacing="0" w:after="75" w:afterAutospacing="0" w:line="435" w:lineRule="atLeast"/>
        <w:ind w:firstLine="480"/>
        <w:rPr>
          <w:rFonts w:ascii="宋体" w:hAnsi="宋体" w:cs="宋体"/>
          <w:color w:val="auto"/>
          <w:sz w:val="21"/>
          <w:szCs w:val="21"/>
          <w:highlight w:val="none"/>
        </w:rPr>
      </w:pPr>
      <w:r>
        <w:rPr>
          <w:rFonts w:hint="eastAsia" w:ascii="宋体" w:hAnsi="宋体" w:cs="宋体"/>
          <w:color w:val="auto"/>
          <w:sz w:val="21"/>
          <w:szCs w:val="21"/>
          <w:highlight w:val="none"/>
        </w:rPr>
        <w:t>15.1合同文件与本合同具有同等法律效力。</w:t>
      </w:r>
    </w:p>
    <w:p>
      <w:pPr>
        <w:pStyle w:val="12"/>
        <w:widowControl/>
        <w:spacing w:before="75" w:beforeAutospacing="0" w:after="75" w:afterAutospacing="0" w:line="435" w:lineRule="atLeast"/>
        <w:ind w:firstLine="480"/>
        <w:rPr>
          <w:rFonts w:ascii="宋体" w:hAnsi="宋体" w:cs="宋体"/>
          <w:color w:val="auto"/>
          <w:sz w:val="21"/>
          <w:szCs w:val="21"/>
          <w:highlight w:val="none"/>
        </w:rPr>
      </w:pPr>
      <w:r>
        <w:rPr>
          <w:rFonts w:hint="eastAsia" w:ascii="宋体" w:hAnsi="宋体" w:cs="宋体"/>
          <w:color w:val="auto"/>
          <w:sz w:val="21"/>
          <w:szCs w:val="21"/>
          <w:highlight w:val="none"/>
        </w:rPr>
        <w:t>15.2本合同未尽事宜，双方可另行补充。</w:t>
      </w:r>
    </w:p>
    <w:p>
      <w:pPr>
        <w:pStyle w:val="12"/>
        <w:widowControl/>
        <w:spacing w:before="75" w:beforeAutospacing="0" w:after="75" w:afterAutospacing="0" w:line="435" w:lineRule="atLeast"/>
        <w:ind w:firstLine="480"/>
        <w:rPr>
          <w:rFonts w:ascii="宋体" w:hAnsi="宋体" w:cs="宋体"/>
          <w:color w:val="auto"/>
          <w:sz w:val="21"/>
          <w:szCs w:val="21"/>
          <w:highlight w:val="none"/>
        </w:rPr>
      </w:pPr>
      <w:r>
        <w:rPr>
          <w:rFonts w:hint="eastAsia" w:ascii="宋体" w:hAnsi="宋体" w:cs="宋体"/>
          <w:color w:val="auto"/>
          <w:sz w:val="21"/>
          <w:szCs w:val="21"/>
          <w:highlight w:val="none"/>
        </w:rPr>
        <w:t>15.3本合同自签订之日起生效。</w:t>
      </w:r>
    </w:p>
    <w:p>
      <w:pPr>
        <w:pStyle w:val="12"/>
        <w:widowControl/>
        <w:spacing w:before="75" w:beforeAutospacing="0" w:after="75" w:afterAutospacing="0" w:line="435" w:lineRule="atLeast"/>
        <w:ind w:firstLine="480"/>
        <w:rPr>
          <w:rFonts w:ascii="宋体" w:hAnsi="宋体" w:cs="宋体"/>
          <w:color w:val="auto"/>
          <w:sz w:val="21"/>
          <w:szCs w:val="21"/>
          <w:highlight w:val="none"/>
        </w:rPr>
      </w:pPr>
      <w:r>
        <w:rPr>
          <w:rFonts w:hint="eastAsia" w:ascii="宋体" w:hAnsi="宋体" w:cs="宋体"/>
          <w:color w:val="auto"/>
          <w:sz w:val="21"/>
          <w:szCs w:val="21"/>
          <w:highlight w:val="none"/>
        </w:rPr>
        <w:t>15.4合同一式</w:t>
      </w:r>
      <w:r>
        <w:rPr>
          <w:rFonts w:hint="eastAsia" w:ascii="宋体" w:hAnsi="宋体" w:cs="宋体"/>
          <w:color w:val="auto"/>
          <w:sz w:val="21"/>
          <w:szCs w:val="21"/>
          <w:highlight w:val="none"/>
          <w:u w:val="single"/>
        </w:rPr>
        <w:t>（填写具体份数）</w:t>
      </w:r>
      <w:r>
        <w:rPr>
          <w:rFonts w:hint="eastAsia" w:ascii="宋体" w:hAnsi="宋体" w:cs="宋体"/>
          <w:color w:val="auto"/>
          <w:sz w:val="21"/>
          <w:szCs w:val="21"/>
          <w:highlight w:val="none"/>
        </w:rPr>
        <w:t>份，经双方授权代表签字并盖章后生效。甲方、乙方各执</w:t>
      </w:r>
      <w:r>
        <w:rPr>
          <w:rFonts w:hint="eastAsia" w:ascii="宋体" w:hAnsi="宋体" w:cs="宋体"/>
          <w:color w:val="auto"/>
          <w:sz w:val="21"/>
          <w:szCs w:val="21"/>
          <w:highlight w:val="none"/>
          <w:u w:val="single"/>
        </w:rPr>
        <w:t>（填写具体份数）</w:t>
      </w:r>
      <w:r>
        <w:rPr>
          <w:rFonts w:hint="eastAsia" w:ascii="宋体" w:hAnsi="宋体" w:cs="宋体"/>
          <w:color w:val="auto"/>
          <w:sz w:val="21"/>
          <w:szCs w:val="21"/>
          <w:highlight w:val="none"/>
        </w:rPr>
        <w:t>份，送</w:t>
      </w:r>
      <w:r>
        <w:rPr>
          <w:rFonts w:hint="eastAsia" w:ascii="宋体" w:hAnsi="宋体" w:cs="宋体"/>
          <w:color w:val="auto"/>
          <w:sz w:val="21"/>
          <w:szCs w:val="21"/>
          <w:highlight w:val="none"/>
          <w:u w:val="single"/>
        </w:rPr>
        <w:t>（填写需要备案的监管部门的全称）</w:t>
      </w:r>
      <w:r>
        <w:rPr>
          <w:rFonts w:hint="eastAsia" w:ascii="宋体" w:hAnsi="宋体" w:cs="宋体"/>
          <w:color w:val="auto"/>
          <w:sz w:val="21"/>
          <w:szCs w:val="21"/>
          <w:highlight w:val="none"/>
        </w:rPr>
        <w:t>备案</w:t>
      </w:r>
      <w:r>
        <w:rPr>
          <w:rFonts w:hint="eastAsia" w:ascii="宋体" w:hAnsi="宋体" w:cs="宋体"/>
          <w:color w:val="auto"/>
          <w:sz w:val="21"/>
          <w:szCs w:val="21"/>
          <w:highlight w:val="none"/>
          <w:u w:val="single"/>
        </w:rPr>
        <w:t>（填写具体份数）</w:t>
      </w:r>
      <w:r>
        <w:rPr>
          <w:rFonts w:hint="eastAsia" w:ascii="宋体" w:hAnsi="宋体" w:cs="宋体"/>
          <w:color w:val="auto"/>
          <w:sz w:val="21"/>
          <w:szCs w:val="21"/>
          <w:highlight w:val="none"/>
        </w:rPr>
        <w:t>份，送</w:t>
      </w:r>
      <w:r>
        <w:rPr>
          <w:rFonts w:hint="eastAsia" w:ascii="宋体" w:hAnsi="宋体" w:cs="宋体"/>
          <w:color w:val="auto"/>
          <w:sz w:val="21"/>
          <w:szCs w:val="21"/>
          <w:highlight w:val="none"/>
          <w:u w:val="single"/>
        </w:rPr>
        <w:t>（填写需要备案的采购代理机构的全称）</w:t>
      </w:r>
      <w:r>
        <w:rPr>
          <w:rFonts w:hint="eastAsia" w:ascii="宋体" w:hAnsi="宋体" w:cs="宋体"/>
          <w:color w:val="auto"/>
          <w:sz w:val="21"/>
          <w:szCs w:val="21"/>
          <w:highlight w:val="none"/>
        </w:rPr>
        <w:t>备案</w:t>
      </w:r>
      <w:r>
        <w:rPr>
          <w:rFonts w:hint="eastAsia" w:ascii="宋体" w:hAnsi="宋体" w:cs="宋体"/>
          <w:color w:val="auto"/>
          <w:sz w:val="21"/>
          <w:szCs w:val="21"/>
          <w:highlight w:val="none"/>
          <w:u w:val="single"/>
        </w:rPr>
        <w:t>（填写具体份数）</w:t>
      </w:r>
      <w:r>
        <w:rPr>
          <w:rFonts w:hint="eastAsia" w:ascii="宋体" w:hAnsi="宋体" w:cs="宋体"/>
          <w:color w:val="auto"/>
          <w:sz w:val="21"/>
          <w:szCs w:val="21"/>
          <w:highlight w:val="none"/>
        </w:rPr>
        <w:t>份，具有同等效力。</w:t>
      </w:r>
    </w:p>
    <w:p>
      <w:pPr>
        <w:pStyle w:val="12"/>
        <w:widowControl/>
        <w:spacing w:before="75" w:beforeAutospacing="0" w:after="75" w:afterAutospacing="0" w:line="435" w:lineRule="atLeast"/>
        <w:ind w:firstLine="480"/>
        <w:rPr>
          <w:rFonts w:ascii="宋体" w:hAnsi="宋体" w:cs="宋体"/>
          <w:color w:val="auto"/>
          <w:sz w:val="21"/>
          <w:szCs w:val="21"/>
          <w:highlight w:val="none"/>
        </w:rPr>
      </w:pPr>
      <w:r>
        <w:rPr>
          <w:rFonts w:hint="eastAsia" w:ascii="宋体" w:hAnsi="宋体" w:cs="宋体"/>
          <w:color w:val="auto"/>
          <w:sz w:val="21"/>
          <w:szCs w:val="21"/>
          <w:highlight w:val="none"/>
        </w:rPr>
        <w:t>15.5其他：□无。□（根据实际情况填写需要增加的内容）。</w:t>
      </w:r>
    </w:p>
    <w:p>
      <w:pPr>
        <w:pStyle w:val="12"/>
        <w:widowControl/>
        <w:spacing w:before="75" w:beforeAutospacing="0" w:after="75" w:afterAutospacing="0" w:line="435" w:lineRule="atLeast"/>
        <w:jc w:val="center"/>
        <w:rPr>
          <w:rFonts w:ascii="宋体" w:hAnsi="宋体" w:cs="宋体"/>
          <w:color w:val="auto"/>
          <w:sz w:val="21"/>
          <w:szCs w:val="21"/>
          <w:highlight w:val="none"/>
        </w:rPr>
      </w:pPr>
      <w:r>
        <w:rPr>
          <w:rFonts w:hint="eastAsia" w:ascii="宋体" w:hAnsi="宋体" w:cs="宋体"/>
          <w:color w:val="auto"/>
          <w:sz w:val="21"/>
          <w:szCs w:val="21"/>
          <w:highlight w:val="none"/>
        </w:rPr>
        <w:t>（以下无正文）</w:t>
      </w:r>
    </w:p>
    <w:p>
      <w:pPr>
        <w:pStyle w:val="12"/>
        <w:widowControl/>
        <w:spacing w:before="75" w:beforeAutospacing="0" w:after="75" w:afterAutospacing="0" w:line="435" w:lineRule="atLeast"/>
        <w:rPr>
          <w:rFonts w:ascii="宋体" w:hAnsi="宋体" w:cs="宋体"/>
          <w:color w:val="auto"/>
          <w:sz w:val="21"/>
          <w:szCs w:val="21"/>
          <w:highlight w:val="none"/>
        </w:rPr>
      </w:pPr>
      <w:r>
        <w:rPr>
          <w:rFonts w:hint="eastAsia" w:ascii="宋体" w:hAnsi="宋体" w:cs="宋体"/>
          <w:color w:val="auto"/>
          <w:sz w:val="21"/>
          <w:szCs w:val="21"/>
          <w:highlight w:val="none"/>
        </w:rPr>
        <w:t> </w:t>
      </w:r>
    </w:p>
    <w:p>
      <w:pPr>
        <w:pStyle w:val="12"/>
        <w:widowControl/>
        <w:spacing w:before="75" w:beforeAutospacing="0" w:after="75" w:afterAutospacing="0" w:line="435" w:lineRule="atLeast"/>
        <w:rPr>
          <w:rFonts w:ascii="宋体" w:hAnsi="宋体" w:cs="宋体"/>
          <w:color w:val="auto"/>
          <w:sz w:val="21"/>
          <w:szCs w:val="21"/>
          <w:highlight w:val="none"/>
        </w:rPr>
      </w:pPr>
      <w:r>
        <w:rPr>
          <w:rFonts w:hint="eastAsia" w:ascii="宋体" w:hAnsi="宋体" w:cs="宋体"/>
          <w:color w:val="auto"/>
          <w:sz w:val="21"/>
          <w:szCs w:val="21"/>
          <w:highlight w:val="none"/>
        </w:rPr>
        <w:t>甲方：                                 乙方：</w:t>
      </w:r>
    </w:p>
    <w:p>
      <w:pPr>
        <w:pStyle w:val="12"/>
        <w:widowControl/>
        <w:spacing w:before="75" w:beforeAutospacing="0" w:after="75" w:afterAutospacing="0" w:line="435" w:lineRule="atLeast"/>
        <w:rPr>
          <w:rFonts w:ascii="宋体" w:hAnsi="宋体" w:cs="宋体"/>
          <w:color w:val="auto"/>
          <w:sz w:val="21"/>
          <w:szCs w:val="21"/>
          <w:highlight w:val="none"/>
        </w:rPr>
      </w:pPr>
      <w:r>
        <w:rPr>
          <w:rFonts w:hint="eastAsia" w:ascii="宋体" w:hAnsi="宋体" w:cs="宋体"/>
          <w:color w:val="auto"/>
          <w:sz w:val="21"/>
          <w:szCs w:val="21"/>
          <w:highlight w:val="none"/>
        </w:rPr>
        <w:t>住所：                                 住所：</w:t>
      </w:r>
    </w:p>
    <w:p>
      <w:pPr>
        <w:pStyle w:val="12"/>
        <w:widowControl/>
        <w:spacing w:before="75" w:beforeAutospacing="0" w:after="75" w:afterAutospacing="0" w:line="435" w:lineRule="atLeast"/>
        <w:rPr>
          <w:rFonts w:ascii="宋体" w:hAnsi="宋体" w:cs="宋体"/>
          <w:color w:val="auto"/>
          <w:sz w:val="21"/>
          <w:szCs w:val="21"/>
          <w:highlight w:val="none"/>
        </w:rPr>
      </w:pPr>
      <w:r>
        <w:rPr>
          <w:rFonts w:hint="eastAsia" w:ascii="宋体" w:hAnsi="宋体" w:cs="宋体"/>
          <w:color w:val="auto"/>
          <w:sz w:val="21"/>
          <w:szCs w:val="21"/>
          <w:highlight w:val="none"/>
        </w:rPr>
        <w:t>单位负责人：                             单位负责人： </w:t>
      </w:r>
    </w:p>
    <w:p>
      <w:pPr>
        <w:pStyle w:val="12"/>
        <w:widowControl/>
        <w:spacing w:before="75" w:beforeAutospacing="0" w:after="75" w:afterAutospacing="0" w:line="435" w:lineRule="atLeast"/>
        <w:rPr>
          <w:rFonts w:ascii="宋体" w:hAnsi="宋体" w:cs="宋体"/>
          <w:color w:val="auto"/>
          <w:sz w:val="21"/>
          <w:szCs w:val="21"/>
          <w:highlight w:val="none"/>
        </w:rPr>
      </w:pPr>
      <w:r>
        <w:rPr>
          <w:rFonts w:hint="eastAsia" w:ascii="宋体" w:hAnsi="宋体" w:cs="宋体"/>
          <w:color w:val="auto"/>
          <w:sz w:val="21"/>
          <w:szCs w:val="21"/>
          <w:highlight w:val="none"/>
        </w:rPr>
        <w:t>委托代理人：                             委托代理人： </w:t>
      </w:r>
    </w:p>
    <w:p>
      <w:pPr>
        <w:pStyle w:val="12"/>
        <w:widowControl/>
        <w:spacing w:before="75" w:beforeAutospacing="0" w:after="75" w:afterAutospacing="0" w:line="435" w:lineRule="atLeast"/>
        <w:rPr>
          <w:rFonts w:ascii="宋体" w:hAnsi="宋体" w:cs="宋体"/>
          <w:color w:val="auto"/>
          <w:sz w:val="21"/>
          <w:szCs w:val="21"/>
          <w:highlight w:val="none"/>
        </w:rPr>
      </w:pPr>
      <w:r>
        <w:rPr>
          <w:rFonts w:hint="eastAsia" w:ascii="宋体" w:hAnsi="宋体" w:cs="宋体"/>
          <w:color w:val="auto"/>
          <w:sz w:val="21"/>
          <w:szCs w:val="21"/>
          <w:highlight w:val="none"/>
        </w:rPr>
        <w:t>联系方法：                              联系方法：</w:t>
      </w:r>
    </w:p>
    <w:p>
      <w:pPr>
        <w:pStyle w:val="12"/>
        <w:widowControl/>
        <w:spacing w:before="75" w:beforeAutospacing="0" w:after="75" w:afterAutospacing="0" w:line="435" w:lineRule="atLeast"/>
        <w:rPr>
          <w:rFonts w:ascii="宋体" w:hAnsi="宋体" w:cs="宋体"/>
          <w:color w:val="auto"/>
          <w:sz w:val="21"/>
          <w:szCs w:val="21"/>
          <w:highlight w:val="none"/>
        </w:rPr>
      </w:pPr>
      <w:r>
        <w:rPr>
          <w:rFonts w:hint="eastAsia" w:ascii="宋体" w:hAnsi="宋体" w:cs="宋体"/>
          <w:color w:val="auto"/>
          <w:sz w:val="21"/>
          <w:szCs w:val="21"/>
          <w:highlight w:val="none"/>
        </w:rPr>
        <w:t>开户银行：                              开户银行：</w:t>
      </w:r>
    </w:p>
    <w:p>
      <w:pPr>
        <w:pStyle w:val="12"/>
        <w:widowControl/>
        <w:spacing w:before="75" w:beforeAutospacing="0" w:after="75" w:afterAutospacing="0" w:line="435" w:lineRule="atLeast"/>
        <w:rPr>
          <w:rFonts w:ascii="宋体" w:hAnsi="宋体" w:cs="宋体"/>
          <w:color w:val="auto"/>
          <w:sz w:val="21"/>
          <w:szCs w:val="21"/>
          <w:highlight w:val="none"/>
        </w:rPr>
      </w:pPr>
      <w:r>
        <w:rPr>
          <w:rFonts w:hint="eastAsia" w:ascii="宋体" w:hAnsi="宋体" w:cs="宋体"/>
          <w:color w:val="auto"/>
          <w:sz w:val="21"/>
          <w:szCs w:val="21"/>
          <w:highlight w:val="none"/>
        </w:rPr>
        <w:t>账号：                                 账号：</w:t>
      </w:r>
    </w:p>
    <w:p>
      <w:pPr>
        <w:pStyle w:val="12"/>
        <w:widowControl/>
        <w:spacing w:before="75" w:beforeAutospacing="0" w:after="75" w:afterAutospacing="0" w:line="435" w:lineRule="atLeast"/>
        <w:rPr>
          <w:rFonts w:ascii="宋体" w:hAnsi="宋体" w:cs="宋体"/>
          <w:color w:val="auto"/>
          <w:sz w:val="21"/>
          <w:szCs w:val="21"/>
          <w:highlight w:val="none"/>
        </w:rPr>
      </w:pPr>
    </w:p>
    <w:p>
      <w:pPr>
        <w:pStyle w:val="12"/>
        <w:widowControl/>
        <w:spacing w:before="75" w:beforeAutospacing="0" w:after="75" w:afterAutospacing="0" w:line="435" w:lineRule="atLeast"/>
        <w:rPr>
          <w:rFonts w:ascii="宋体" w:hAnsi="宋体" w:cs="宋体"/>
          <w:color w:val="auto"/>
          <w:sz w:val="21"/>
          <w:szCs w:val="21"/>
          <w:highlight w:val="none"/>
        </w:rPr>
      </w:pPr>
      <w:r>
        <w:rPr>
          <w:rFonts w:hint="eastAsia" w:ascii="宋体" w:hAnsi="宋体" w:cs="宋体"/>
          <w:color w:val="auto"/>
          <w:sz w:val="21"/>
          <w:szCs w:val="21"/>
          <w:highlight w:val="none"/>
        </w:rPr>
        <w:t>签订地点：</w:t>
      </w:r>
      <w:r>
        <w:rPr>
          <w:rFonts w:hint="eastAsia" w:ascii="宋体" w:hAnsi="宋体" w:cs="宋体"/>
          <w:color w:val="auto"/>
          <w:sz w:val="21"/>
          <w:szCs w:val="21"/>
          <w:highlight w:val="none"/>
          <w:u w:val="single"/>
        </w:rPr>
        <w:t>                </w:t>
      </w:r>
    </w:p>
    <w:p>
      <w:pPr>
        <w:pStyle w:val="12"/>
        <w:widowControl/>
        <w:spacing w:before="75" w:beforeAutospacing="0" w:after="75" w:afterAutospacing="0" w:line="435" w:lineRule="atLeast"/>
        <w:rPr>
          <w:rFonts w:ascii="宋体" w:hAnsi="宋体" w:cs="宋体"/>
          <w:color w:val="auto"/>
          <w:sz w:val="21"/>
          <w:szCs w:val="21"/>
          <w:highlight w:val="none"/>
        </w:rPr>
      </w:pPr>
      <w:r>
        <w:rPr>
          <w:rFonts w:hint="eastAsia" w:ascii="宋体" w:hAnsi="宋体" w:cs="宋体"/>
          <w:color w:val="auto"/>
          <w:sz w:val="21"/>
          <w:szCs w:val="21"/>
          <w:highlight w:val="none"/>
        </w:rPr>
        <w:t>签订日期：</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年</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月</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日</w:t>
      </w:r>
    </w:p>
    <w:p>
      <w:pPr>
        <w:pStyle w:val="12"/>
        <w:widowControl/>
        <w:spacing w:before="75" w:beforeAutospacing="0" w:after="75" w:afterAutospacing="0" w:line="435" w:lineRule="atLeast"/>
        <w:jc w:val="center"/>
        <w:outlineLvl w:val="0"/>
        <w:rPr>
          <w:rFonts w:ascii="宋体" w:hAnsi="宋体" w:cs="宋体"/>
          <w:color w:val="auto"/>
          <w:highlight w:val="none"/>
        </w:rPr>
      </w:pPr>
      <w:r>
        <w:rPr>
          <w:rStyle w:val="18"/>
          <w:rFonts w:hint="eastAsia" w:ascii="宋体" w:hAnsi="宋体" w:cs="宋体"/>
          <w:color w:val="auto"/>
          <w:sz w:val="36"/>
          <w:szCs w:val="36"/>
          <w:highlight w:val="none"/>
        </w:rPr>
        <w:br w:type="page"/>
      </w:r>
      <w:bookmarkStart w:id="9" w:name="_Toc22601"/>
      <w:r>
        <w:rPr>
          <w:rStyle w:val="18"/>
          <w:rFonts w:hint="eastAsia" w:ascii="宋体" w:hAnsi="宋体" w:cs="宋体"/>
          <w:color w:val="auto"/>
          <w:sz w:val="36"/>
          <w:szCs w:val="36"/>
          <w:highlight w:val="none"/>
        </w:rPr>
        <w:t>第五章  首次响应文件格式</w:t>
      </w:r>
      <w:bookmarkEnd w:id="9"/>
    </w:p>
    <w:p>
      <w:pPr>
        <w:pStyle w:val="12"/>
        <w:widowControl/>
        <w:spacing w:before="75" w:beforeAutospacing="0" w:after="75" w:afterAutospacing="0"/>
        <w:jc w:val="center"/>
        <w:rPr>
          <w:rFonts w:ascii="宋体" w:hAnsi="宋体" w:cs="宋体"/>
          <w:color w:val="auto"/>
          <w:highlight w:val="none"/>
        </w:rPr>
      </w:pPr>
      <w:r>
        <w:rPr>
          <w:rStyle w:val="18"/>
          <w:rFonts w:hint="eastAsia" w:ascii="宋体" w:hAnsi="宋体" w:cs="宋体"/>
          <w:color w:val="auto"/>
          <w:sz w:val="36"/>
          <w:szCs w:val="36"/>
          <w:highlight w:val="none"/>
        </w:rPr>
        <w:t> </w:t>
      </w:r>
    </w:p>
    <w:p>
      <w:pPr>
        <w:pStyle w:val="12"/>
        <w:widowControl/>
        <w:spacing w:before="75" w:beforeAutospacing="0" w:after="75" w:afterAutospacing="0" w:line="435" w:lineRule="atLeast"/>
        <w:jc w:val="center"/>
        <w:rPr>
          <w:rFonts w:ascii="宋体" w:hAnsi="宋体" w:cs="宋体"/>
          <w:color w:val="auto"/>
          <w:highlight w:val="none"/>
        </w:rPr>
      </w:pPr>
      <w:r>
        <w:rPr>
          <w:rStyle w:val="18"/>
          <w:rFonts w:hint="eastAsia" w:ascii="宋体" w:hAnsi="宋体" w:cs="宋体"/>
          <w:color w:val="auto"/>
          <w:highlight w:val="none"/>
        </w:rPr>
        <w:t>编制说明</w:t>
      </w:r>
    </w:p>
    <w:p>
      <w:pPr>
        <w:pStyle w:val="12"/>
        <w:widowControl/>
        <w:spacing w:before="75" w:beforeAutospacing="0" w:after="75" w:afterAutospacing="0" w:line="435" w:lineRule="atLeast"/>
        <w:rPr>
          <w:rFonts w:ascii="宋体" w:hAnsi="宋体" w:cs="宋体"/>
          <w:color w:val="auto"/>
          <w:highlight w:val="none"/>
        </w:rPr>
      </w:pPr>
      <w:r>
        <w:rPr>
          <w:rFonts w:hint="eastAsia" w:ascii="宋体" w:hAnsi="宋体" w:cs="宋体"/>
          <w:color w:val="auto"/>
          <w:highlight w:val="none"/>
        </w:rPr>
        <w:t> 1、除磋商文件另有规定外，磋商文件要求原件的，供应商在纸质响应文件正本中应提供原件；磋商文件要求复印件的，供应商在纸质响应文件中可提供原件、复印件或扫描件；磋商文件对原件、复印件未作要求的，供应商可自行确定在纸质响应文件中提供原件、复印件或扫描件（若供应商提供注明“复印件无效”的材料或资料，供应商在纸质响应文件正本中应提供原件）。</w:t>
      </w:r>
    </w:p>
    <w:p>
      <w:pPr>
        <w:pStyle w:val="12"/>
        <w:widowControl/>
        <w:spacing w:before="75" w:beforeAutospacing="0" w:after="75" w:afterAutospacing="0" w:line="435" w:lineRule="atLeast"/>
        <w:rPr>
          <w:rFonts w:ascii="宋体" w:hAnsi="宋体" w:cs="宋体"/>
          <w:color w:val="auto"/>
          <w:highlight w:val="none"/>
        </w:rPr>
      </w:pPr>
      <w:r>
        <w:rPr>
          <w:rFonts w:hint="eastAsia" w:ascii="宋体" w:hAnsi="宋体" w:cs="宋体"/>
          <w:color w:val="auto"/>
          <w:highlight w:val="none"/>
        </w:rPr>
        <w:t> </w:t>
      </w:r>
    </w:p>
    <w:p>
      <w:pPr>
        <w:pStyle w:val="12"/>
        <w:widowControl/>
        <w:spacing w:before="75" w:beforeAutospacing="0" w:after="75" w:afterAutospacing="0"/>
        <w:rPr>
          <w:rFonts w:ascii="宋体" w:hAnsi="宋体" w:cs="宋体"/>
          <w:color w:val="auto"/>
          <w:highlight w:val="none"/>
        </w:rPr>
      </w:pPr>
      <w:r>
        <w:rPr>
          <w:rStyle w:val="18"/>
          <w:rFonts w:hint="eastAsia" w:ascii="宋体" w:hAnsi="宋体" w:cs="宋体"/>
          <w:color w:val="auto"/>
          <w:sz w:val="36"/>
          <w:szCs w:val="36"/>
          <w:highlight w:val="none"/>
        </w:rPr>
        <w:t> </w:t>
      </w:r>
    </w:p>
    <w:p>
      <w:pPr>
        <w:pStyle w:val="12"/>
        <w:widowControl/>
        <w:spacing w:before="75" w:beforeAutospacing="0" w:after="75" w:afterAutospacing="0"/>
        <w:rPr>
          <w:rFonts w:ascii="宋体" w:hAnsi="宋体" w:cs="宋体"/>
          <w:color w:val="auto"/>
          <w:highlight w:val="none"/>
        </w:rPr>
      </w:pPr>
      <w:r>
        <w:rPr>
          <w:rStyle w:val="18"/>
          <w:rFonts w:hint="eastAsia" w:ascii="宋体" w:hAnsi="宋体" w:cs="宋体"/>
          <w:color w:val="auto"/>
          <w:sz w:val="36"/>
          <w:szCs w:val="36"/>
          <w:highlight w:val="none"/>
        </w:rPr>
        <w:t> </w:t>
      </w:r>
    </w:p>
    <w:p>
      <w:pPr>
        <w:pStyle w:val="12"/>
        <w:widowControl/>
        <w:spacing w:before="75" w:beforeAutospacing="0" w:after="75" w:afterAutospacing="0"/>
        <w:rPr>
          <w:rFonts w:ascii="宋体" w:hAnsi="宋体" w:cs="宋体"/>
          <w:color w:val="auto"/>
          <w:highlight w:val="none"/>
        </w:rPr>
      </w:pPr>
      <w:r>
        <w:rPr>
          <w:rStyle w:val="18"/>
          <w:rFonts w:hint="eastAsia" w:ascii="宋体" w:hAnsi="宋体" w:cs="宋体"/>
          <w:color w:val="auto"/>
          <w:sz w:val="36"/>
          <w:szCs w:val="36"/>
          <w:highlight w:val="none"/>
        </w:rPr>
        <w:t> </w:t>
      </w:r>
    </w:p>
    <w:p>
      <w:pPr>
        <w:pStyle w:val="12"/>
        <w:widowControl/>
        <w:spacing w:before="75" w:beforeAutospacing="0" w:after="75" w:afterAutospacing="0"/>
        <w:rPr>
          <w:rStyle w:val="18"/>
          <w:rFonts w:ascii="宋体" w:hAnsi="宋体" w:cs="宋体"/>
          <w:color w:val="auto"/>
          <w:sz w:val="36"/>
          <w:szCs w:val="36"/>
          <w:highlight w:val="none"/>
        </w:rPr>
      </w:pPr>
      <w:r>
        <w:rPr>
          <w:rStyle w:val="18"/>
          <w:rFonts w:hint="eastAsia" w:ascii="宋体" w:hAnsi="宋体" w:cs="宋体"/>
          <w:color w:val="auto"/>
          <w:sz w:val="36"/>
          <w:szCs w:val="36"/>
          <w:highlight w:val="none"/>
        </w:rPr>
        <w:t xml:space="preserve">            </w:t>
      </w:r>
    </w:p>
    <w:p>
      <w:pPr>
        <w:spacing w:line="360" w:lineRule="auto"/>
        <w:jc w:val="center"/>
        <w:rPr>
          <w:rFonts w:ascii="宋体" w:hAnsi="宋体" w:cs="宋体"/>
          <w:b/>
          <w:color w:val="auto"/>
          <w:sz w:val="72"/>
          <w:highlight w:val="none"/>
        </w:rPr>
      </w:pPr>
      <w:r>
        <w:rPr>
          <w:rStyle w:val="18"/>
          <w:rFonts w:hint="eastAsia" w:ascii="宋体" w:hAnsi="宋体" w:cs="宋体"/>
          <w:color w:val="auto"/>
          <w:sz w:val="36"/>
          <w:szCs w:val="36"/>
          <w:highlight w:val="none"/>
        </w:rPr>
        <w:br w:type="page"/>
      </w:r>
      <w:r>
        <w:rPr>
          <w:rFonts w:hint="eastAsia" w:ascii="宋体" w:hAnsi="宋体" w:cs="宋体"/>
          <w:b/>
          <w:color w:val="auto"/>
          <w:sz w:val="72"/>
          <w:highlight w:val="none"/>
        </w:rPr>
        <w:t>采购项目</w:t>
      </w:r>
    </w:p>
    <w:p>
      <w:pPr>
        <w:spacing w:line="360" w:lineRule="auto"/>
        <w:jc w:val="center"/>
        <w:rPr>
          <w:rFonts w:ascii="宋体" w:hAnsi="宋体" w:cs="宋体"/>
          <w:b/>
          <w:color w:val="auto"/>
          <w:sz w:val="72"/>
          <w:highlight w:val="none"/>
        </w:rPr>
      </w:pPr>
      <w:r>
        <w:rPr>
          <w:rFonts w:hint="eastAsia" w:ascii="宋体" w:hAnsi="宋体" w:cs="宋体"/>
          <w:b/>
          <w:color w:val="auto"/>
          <w:sz w:val="72"/>
          <w:highlight w:val="none"/>
        </w:rPr>
        <w:t>响  应  文  件</w:t>
      </w:r>
    </w:p>
    <w:p>
      <w:pPr>
        <w:spacing w:line="360" w:lineRule="auto"/>
        <w:jc w:val="center"/>
        <w:rPr>
          <w:rFonts w:ascii="宋体" w:hAnsi="宋体" w:cs="宋体"/>
          <w:b/>
          <w:color w:val="auto"/>
          <w:sz w:val="44"/>
          <w:szCs w:val="44"/>
          <w:highlight w:val="none"/>
        </w:rPr>
      </w:pPr>
    </w:p>
    <w:p>
      <w:pPr>
        <w:spacing w:line="360" w:lineRule="auto"/>
        <w:jc w:val="center"/>
        <w:rPr>
          <w:rFonts w:ascii="宋体" w:hAnsi="宋体" w:cs="宋体"/>
          <w:b/>
          <w:color w:val="auto"/>
          <w:sz w:val="44"/>
          <w:szCs w:val="44"/>
          <w:highlight w:val="none"/>
        </w:rPr>
      </w:pPr>
    </w:p>
    <w:p>
      <w:pPr>
        <w:spacing w:line="360" w:lineRule="auto"/>
        <w:jc w:val="center"/>
        <w:rPr>
          <w:rFonts w:ascii="宋体" w:hAnsi="宋体" w:cs="宋体"/>
          <w:b/>
          <w:color w:val="auto"/>
          <w:sz w:val="44"/>
          <w:szCs w:val="44"/>
          <w:highlight w:val="none"/>
        </w:rPr>
      </w:pPr>
      <w:r>
        <w:rPr>
          <w:rFonts w:hint="eastAsia" w:ascii="宋体" w:hAnsi="宋体" w:cs="宋体"/>
          <w:b/>
          <w:color w:val="auto"/>
          <w:sz w:val="44"/>
          <w:szCs w:val="44"/>
          <w:highlight w:val="none"/>
        </w:rPr>
        <w:t>(正本/副本)</w:t>
      </w:r>
    </w:p>
    <w:p>
      <w:pPr>
        <w:spacing w:line="360" w:lineRule="auto"/>
        <w:jc w:val="center"/>
        <w:rPr>
          <w:rFonts w:ascii="宋体" w:hAnsi="宋体" w:cs="宋体"/>
          <w:b/>
          <w:color w:val="auto"/>
          <w:sz w:val="48"/>
          <w:szCs w:val="48"/>
          <w:highlight w:val="none"/>
        </w:rPr>
      </w:pPr>
      <w:r>
        <w:rPr>
          <w:rFonts w:hint="eastAsia" w:ascii="宋体" w:hAnsi="宋体" w:cs="宋体"/>
          <w:b/>
          <w:color w:val="auto"/>
          <w:sz w:val="48"/>
          <w:szCs w:val="48"/>
          <w:highlight w:val="none"/>
        </w:rPr>
        <w:t>（首次）</w:t>
      </w:r>
    </w:p>
    <w:p>
      <w:pPr>
        <w:spacing w:line="360" w:lineRule="auto"/>
        <w:ind w:firstLine="1084" w:firstLineChars="300"/>
        <w:rPr>
          <w:rFonts w:ascii="宋体" w:hAnsi="宋体" w:cs="宋体"/>
          <w:b/>
          <w:color w:val="auto"/>
          <w:sz w:val="36"/>
          <w:highlight w:val="none"/>
        </w:rPr>
      </w:pPr>
      <w:r>
        <w:rPr>
          <w:rFonts w:hint="eastAsia" w:ascii="宋体" w:hAnsi="宋体" w:cs="宋体"/>
          <w:b/>
          <w:color w:val="auto"/>
          <w:sz w:val="36"/>
          <w:highlight w:val="none"/>
        </w:rPr>
        <w:t>项目名称：</w:t>
      </w:r>
    </w:p>
    <w:p>
      <w:pPr>
        <w:spacing w:line="360" w:lineRule="auto"/>
        <w:ind w:firstLine="1084" w:firstLineChars="300"/>
        <w:rPr>
          <w:rFonts w:ascii="宋体" w:hAnsi="宋体" w:cs="宋体"/>
          <w:b/>
          <w:color w:val="auto"/>
          <w:sz w:val="36"/>
          <w:highlight w:val="none"/>
          <w:u w:val="single"/>
        </w:rPr>
      </w:pPr>
      <w:r>
        <w:rPr>
          <w:rFonts w:hint="eastAsia" w:ascii="宋体" w:hAnsi="宋体" w:cs="宋体"/>
          <w:b/>
          <w:color w:val="auto"/>
          <w:sz w:val="36"/>
          <w:highlight w:val="none"/>
        </w:rPr>
        <w:t>项目编号：</w:t>
      </w:r>
    </w:p>
    <w:p>
      <w:pPr>
        <w:spacing w:line="360" w:lineRule="auto"/>
        <w:ind w:firstLine="1086" w:firstLineChars="246"/>
        <w:rPr>
          <w:rFonts w:ascii="宋体" w:hAnsi="宋体" w:cs="宋体"/>
          <w:b/>
          <w:color w:val="auto"/>
          <w:sz w:val="36"/>
          <w:highlight w:val="none"/>
        </w:rPr>
      </w:pPr>
      <w:r>
        <w:rPr>
          <w:rFonts w:hint="eastAsia" w:ascii="宋体" w:hAnsi="宋体" w:cs="宋体"/>
          <w:b/>
          <w:color w:val="auto"/>
          <w:spacing w:val="40"/>
          <w:sz w:val="36"/>
          <w:highlight w:val="none"/>
        </w:rPr>
        <w:t>采购包</w:t>
      </w:r>
      <w:r>
        <w:rPr>
          <w:rFonts w:hint="eastAsia" w:ascii="宋体" w:hAnsi="宋体" w:cs="宋体"/>
          <w:b/>
          <w:color w:val="auto"/>
          <w:sz w:val="36"/>
          <w:highlight w:val="none"/>
        </w:rPr>
        <w:t>：</w:t>
      </w:r>
    </w:p>
    <w:p>
      <w:pPr>
        <w:spacing w:line="360" w:lineRule="auto"/>
        <w:rPr>
          <w:rFonts w:ascii="宋体" w:hAnsi="宋体" w:cs="宋体"/>
          <w:b/>
          <w:color w:val="auto"/>
          <w:sz w:val="36"/>
          <w:highlight w:val="none"/>
        </w:rPr>
      </w:pPr>
    </w:p>
    <w:p>
      <w:pPr>
        <w:spacing w:line="360" w:lineRule="auto"/>
        <w:rPr>
          <w:rFonts w:ascii="宋体" w:hAnsi="宋体" w:cs="宋体"/>
          <w:b/>
          <w:color w:val="auto"/>
          <w:sz w:val="36"/>
          <w:highlight w:val="none"/>
        </w:rPr>
      </w:pPr>
    </w:p>
    <w:p>
      <w:pPr>
        <w:spacing w:line="360" w:lineRule="auto"/>
        <w:rPr>
          <w:rFonts w:ascii="宋体" w:hAnsi="宋体" w:cs="宋体"/>
          <w:b/>
          <w:color w:val="auto"/>
          <w:sz w:val="36"/>
          <w:highlight w:val="none"/>
        </w:rPr>
      </w:pPr>
    </w:p>
    <w:p>
      <w:pPr>
        <w:spacing w:line="360" w:lineRule="auto"/>
        <w:rPr>
          <w:rFonts w:ascii="宋体" w:hAnsi="宋体" w:cs="宋体"/>
          <w:b/>
          <w:color w:val="auto"/>
          <w:sz w:val="36"/>
          <w:highlight w:val="none"/>
        </w:rPr>
      </w:pPr>
    </w:p>
    <w:p>
      <w:pPr>
        <w:spacing w:line="360" w:lineRule="auto"/>
        <w:rPr>
          <w:rFonts w:ascii="宋体" w:hAnsi="宋体" w:cs="宋体"/>
          <w:b/>
          <w:color w:val="auto"/>
          <w:sz w:val="36"/>
          <w:highlight w:val="none"/>
          <w:u w:val="single"/>
        </w:rPr>
      </w:pPr>
      <w:r>
        <w:rPr>
          <w:rFonts w:hint="eastAsia" w:ascii="宋体" w:hAnsi="宋体" w:cs="宋体"/>
          <w:b/>
          <w:color w:val="auto"/>
          <w:sz w:val="36"/>
          <w:highlight w:val="none"/>
        </w:rPr>
        <w:t xml:space="preserve">       供应商名称 ：</w:t>
      </w:r>
      <w:r>
        <w:rPr>
          <w:rFonts w:hint="eastAsia" w:ascii="宋体" w:hAnsi="宋体" w:cs="宋体"/>
          <w:b/>
          <w:color w:val="auto"/>
          <w:sz w:val="36"/>
          <w:highlight w:val="none"/>
          <w:u w:val="single"/>
        </w:rPr>
        <w:t xml:space="preserve"> (全称并加盖公章) </w:t>
      </w:r>
    </w:p>
    <w:p>
      <w:pPr>
        <w:spacing w:line="360" w:lineRule="auto"/>
        <w:rPr>
          <w:rFonts w:ascii="宋体" w:hAnsi="宋体" w:cs="宋体"/>
          <w:b/>
          <w:color w:val="auto"/>
          <w:sz w:val="36"/>
          <w:highlight w:val="none"/>
        </w:rPr>
      </w:pPr>
      <w:r>
        <w:rPr>
          <w:rFonts w:hint="eastAsia" w:ascii="宋体" w:hAnsi="宋体" w:cs="宋体"/>
          <w:b/>
          <w:color w:val="auto"/>
          <w:sz w:val="36"/>
          <w:highlight w:val="none"/>
        </w:rPr>
        <w:t xml:space="preserve">       日      期 ：</w:t>
      </w:r>
    </w:p>
    <w:p>
      <w:pPr>
        <w:pStyle w:val="24"/>
        <w:spacing w:line="360" w:lineRule="auto"/>
        <w:ind w:firstLine="1247" w:firstLineChars="345"/>
        <w:jc w:val="left"/>
        <w:outlineLvl w:val="9"/>
        <w:rPr>
          <w:rFonts w:hAnsi="宋体" w:cs="宋体"/>
          <w:b/>
          <w:color w:val="auto"/>
          <w:sz w:val="36"/>
          <w:szCs w:val="24"/>
          <w:highlight w:val="none"/>
        </w:rPr>
      </w:pPr>
      <w:bookmarkStart w:id="10" w:name="_Toc3825"/>
      <w:bookmarkStart w:id="11" w:name="_Toc3991528"/>
      <w:bookmarkStart w:id="12" w:name="_Toc3991461"/>
      <w:bookmarkStart w:id="13" w:name="_Toc3991778"/>
      <w:bookmarkStart w:id="14" w:name="_Toc3991132"/>
      <w:r>
        <w:rPr>
          <w:rFonts w:hint="eastAsia" w:hAnsi="宋体" w:cs="宋体"/>
          <w:b/>
          <w:color w:val="auto"/>
          <w:sz w:val="36"/>
          <w:szCs w:val="24"/>
          <w:highlight w:val="none"/>
        </w:rPr>
        <w:t>联 系 方 式：</w:t>
      </w:r>
      <w:bookmarkEnd w:id="10"/>
      <w:bookmarkEnd w:id="11"/>
      <w:bookmarkEnd w:id="12"/>
      <w:bookmarkEnd w:id="13"/>
      <w:bookmarkEnd w:id="14"/>
    </w:p>
    <w:p>
      <w:pPr>
        <w:pStyle w:val="12"/>
        <w:widowControl/>
        <w:spacing w:before="75" w:beforeAutospacing="0" w:after="75" w:afterAutospacing="0"/>
        <w:jc w:val="center"/>
        <w:rPr>
          <w:rStyle w:val="18"/>
          <w:rFonts w:ascii="宋体" w:hAnsi="宋体" w:cs="宋体"/>
          <w:color w:val="auto"/>
          <w:highlight w:val="none"/>
          <w:u w:val="single"/>
        </w:rPr>
      </w:pPr>
      <w:bookmarkStart w:id="15" w:name="_Toc755_WPSOffice_Level1"/>
    </w:p>
    <w:p>
      <w:pPr>
        <w:pStyle w:val="12"/>
        <w:widowControl/>
        <w:spacing w:before="75" w:beforeAutospacing="0" w:after="75" w:afterAutospacing="0"/>
        <w:jc w:val="center"/>
        <w:rPr>
          <w:rStyle w:val="18"/>
          <w:rFonts w:ascii="宋体" w:hAnsi="宋体" w:cs="宋体"/>
          <w:color w:val="auto"/>
          <w:highlight w:val="none"/>
          <w:u w:val="single"/>
        </w:rPr>
      </w:pPr>
    </w:p>
    <w:p>
      <w:pPr>
        <w:pStyle w:val="12"/>
        <w:widowControl/>
        <w:spacing w:before="75" w:beforeAutospacing="0" w:after="75" w:afterAutospacing="0"/>
        <w:jc w:val="center"/>
        <w:rPr>
          <w:rStyle w:val="18"/>
          <w:rFonts w:ascii="宋体" w:hAnsi="宋体" w:cs="宋体"/>
          <w:color w:val="auto"/>
          <w:highlight w:val="none"/>
          <w:u w:val="single"/>
        </w:rPr>
      </w:pPr>
    </w:p>
    <w:p>
      <w:pPr>
        <w:pStyle w:val="12"/>
        <w:widowControl/>
        <w:spacing w:before="75" w:beforeAutospacing="0" w:after="75" w:afterAutospacing="0"/>
        <w:jc w:val="center"/>
        <w:rPr>
          <w:rStyle w:val="18"/>
          <w:rFonts w:ascii="宋体" w:hAnsi="宋体" w:cs="宋体"/>
          <w:color w:val="auto"/>
          <w:highlight w:val="none"/>
          <w:u w:val="single"/>
        </w:rPr>
      </w:pPr>
    </w:p>
    <w:p>
      <w:pPr>
        <w:pStyle w:val="12"/>
        <w:widowControl/>
        <w:spacing w:before="75" w:beforeAutospacing="0" w:after="75" w:afterAutospacing="0"/>
        <w:jc w:val="center"/>
        <w:rPr>
          <w:rFonts w:ascii="宋体" w:hAnsi="宋体" w:cs="宋体"/>
          <w:color w:val="auto"/>
          <w:sz w:val="21"/>
          <w:szCs w:val="21"/>
          <w:highlight w:val="none"/>
        </w:rPr>
      </w:pPr>
      <w:r>
        <w:rPr>
          <w:rStyle w:val="18"/>
          <w:rFonts w:hint="eastAsia" w:ascii="宋体" w:hAnsi="宋体" w:cs="宋体"/>
          <w:color w:val="auto"/>
          <w:highlight w:val="none"/>
          <w:u w:val="single"/>
        </w:rPr>
        <w:br w:type="page"/>
      </w:r>
      <w:r>
        <w:rPr>
          <w:rStyle w:val="18"/>
          <w:rFonts w:hint="eastAsia" w:ascii="宋体" w:hAnsi="宋体" w:cs="宋体"/>
          <w:color w:val="auto"/>
          <w:sz w:val="21"/>
          <w:szCs w:val="21"/>
          <w:highlight w:val="none"/>
        </w:rPr>
        <w:t>目  录</w:t>
      </w:r>
      <w:bookmarkEnd w:id="15"/>
    </w:p>
    <w:p>
      <w:pPr>
        <w:pStyle w:val="12"/>
        <w:widowControl/>
        <w:spacing w:before="75" w:beforeAutospacing="0" w:after="75" w:afterAutospacing="0" w:line="465" w:lineRule="atLeast"/>
        <w:rPr>
          <w:rFonts w:ascii="宋体" w:hAnsi="宋体" w:cs="宋体"/>
          <w:color w:val="auto"/>
          <w:sz w:val="21"/>
          <w:szCs w:val="21"/>
          <w:highlight w:val="none"/>
        </w:rPr>
      </w:pPr>
      <w:r>
        <w:rPr>
          <w:rFonts w:hint="eastAsia" w:ascii="宋体" w:hAnsi="宋体" w:cs="宋体"/>
          <w:color w:val="auto"/>
          <w:sz w:val="21"/>
          <w:szCs w:val="21"/>
          <w:highlight w:val="none"/>
        </w:rPr>
        <w:t> </w:t>
      </w:r>
    </w:p>
    <w:p>
      <w:pPr>
        <w:pStyle w:val="12"/>
        <w:widowControl/>
        <w:spacing w:before="75" w:beforeAutospacing="0" w:after="75" w:afterAutospacing="0" w:line="465" w:lineRule="atLeast"/>
        <w:rPr>
          <w:rFonts w:ascii="宋体" w:hAnsi="宋体" w:cs="宋体"/>
          <w:color w:val="auto"/>
          <w:sz w:val="21"/>
          <w:szCs w:val="21"/>
          <w:highlight w:val="none"/>
        </w:rPr>
      </w:pPr>
      <w:bookmarkStart w:id="16" w:name="_Toc3336_WPSOffice_Level1"/>
      <w:r>
        <w:rPr>
          <w:rFonts w:hint="eastAsia" w:ascii="宋体" w:hAnsi="宋体" w:cs="宋体"/>
          <w:color w:val="auto"/>
          <w:sz w:val="21"/>
          <w:szCs w:val="21"/>
          <w:highlight w:val="none"/>
        </w:rPr>
        <w:t>附件1：响应函</w:t>
      </w:r>
      <w:bookmarkEnd w:id="16"/>
    </w:p>
    <w:p>
      <w:pPr>
        <w:pStyle w:val="12"/>
        <w:widowControl/>
        <w:spacing w:before="75" w:beforeAutospacing="0" w:after="75" w:afterAutospacing="0" w:line="465" w:lineRule="atLeast"/>
        <w:rPr>
          <w:rFonts w:ascii="宋体" w:hAnsi="宋体" w:cs="宋体"/>
          <w:color w:val="auto"/>
          <w:sz w:val="21"/>
          <w:szCs w:val="21"/>
          <w:highlight w:val="none"/>
        </w:rPr>
      </w:pPr>
      <w:bookmarkStart w:id="17" w:name="_Toc21207_WPSOffice_Level1"/>
      <w:r>
        <w:rPr>
          <w:rFonts w:hint="eastAsia" w:ascii="宋体" w:hAnsi="宋体" w:cs="宋体"/>
          <w:color w:val="auto"/>
          <w:sz w:val="21"/>
          <w:szCs w:val="21"/>
          <w:highlight w:val="none"/>
        </w:rPr>
        <w:t>附件2：报价一览表（含详细报价书）</w:t>
      </w:r>
      <w:bookmarkEnd w:id="17"/>
    </w:p>
    <w:p>
      <w:pPr>
        <w:pStyle w:val="12"/>
        <w:widowControl/>
        <w:spacing w:before="75" w:beforeAutospacing="0" w:after="75" w:afterAutospacing="0" w:line="465" w:lineRule="atLeast"/>
        <w:rPr>
          <w:rFonts w:ascii="宋体" w:hAnsi="宋体" w:cs="宋体"/>
          <w:color w:val="auto"/>
          <w:sz w:val="21"/>
          <w:szCs w:val="21"/>
          <w:highlight w:val="none"/>
        </w:rPr>
      </w:pPr>
      <w:bookmarkStart w:id="18" w:name="_Toc3379_WPSOffice_Level1"/>
      <w:r>
        <w:rPr>
          <w:rFonts w:hint="eastAsia" w:ascii="宋体" w:hAnsi="宋体" w:cs="宋体"/>
          <w:color w:val="auto"/>
          <w:sz w:val="21"/>
          <w:szCs w:val="21"/>
          <w:highlight w:val="none"/>
        </w:rPr>
        <w:t>附件3：资格证明文件</w:t>
      </w:r>
      <w:bookmarkEnd w:id="18"/>
    </w:p>
    <w:p>
      <w:pPr>
        <w:pStyle w:val="12"/>
        <w:widowControl/>
        <w:spacing w:before="75" w:beforeAutospacing="0" w:after="75" w:afterAutospacing="0" w:line="465" w:lineRule="atLeast"/>
        <w:rPr>
          <w:rFonts w:ascii="宋体" w:hAnsi="宋体" w:cs="宋体"/>
          <w:color w:val="auto"/>
          <w:sz w:val="21"/>
          <w:szCs w:val="21"/>
          <w:highlight w:val="none"/>
        </w:rPr>
      </w:pPr>
      <w:bookmarkStart w:id="19" w:name="_Toc21239_WPSOffice_Level1"/>
      <w:r>
        <w:rPr>
          <w:rFonts w:hint="eastAsia" w:ascii="宋体" w:hAnsi="宋体" w:cs="宋体"/>
          <w:color w:val="auto"/>
          <w:sz w:val="21"/>
          <w:szCs w:val="21"/>
          <w:highlight w:val="none"/>
        </w:rPr>
        <w:t>附件4：磋商保证金凭证</w:t>
      </w:r>
      <w:bookmarkEnd w:id="19"/>
    </w:p>
    <w:p>
      <w:pPr>
        <w:pStyle w:val="12"/>
        <w:widowControl/>
        <w:spacing w:before="75" w:beforeAutospacing="0" w:after="75" w:afterAutospacing="0" w:line="465" w:lineRule="atLeast"/>
        <w:rPr>
          <w:rFonts w:ascii="宋体" w:hAnsi="宋体" w:cs="宋体"/>
          <w:color w:val="auto"/>
          <w:sz w:val="21"/>
          <w:szCs w:val="21"/>
          <w:highlight w:val="none"/>
        </w:rPr>
      </w:pPr>
      <w:bookmarkStart w:id="20" w:name="_Toc6805_WPSOffice_Level1"/>
      <w:r>
        <w:rPr>
          <w:rFonts w:hint="eastAsia" w:ascii="宋体" w:hAnsi="宋体" w:cs="宋体"/>
          <w:color w:val="auto"/>
          <w:sz w:val="21"/>
          <w:szCs w:val="21"/>
          <w:highlight w:val="none"/>
        </w:rPr>
        <w:t>附件5：技术和商务偏离表</w:t>
      </w:r>
      <w:bookmarkEnd w:id="20"/>
    </w:p>
    <w:p>
      <w:pPr>
        <w:pStyle w:val="12"/>
        <w:widowControl/>
        <w:spacing w:before="75" w:beforeAutospacing="0" w:after="75" w:afterAutospacing="0" w:line="465" w:lineRule="atLeast"/>
        <w:rPr>
          <w:rFonts w:ascii="宋体" w:hAnsi="宋体" w:cs="宋体"/>
          <w:color w:val="auto"/>
          <w:sz w:val="21"/>
          <w:szCs w:val="21"/>
          <w:highlight w:val="none"/>
        </w:rPr>
      </w:pPr>
      <w:bookmarkStart w:id="21" w:name="_Toc21162_WPSOffice_Level1"/>
      <w:r>
        <w:rPr>
          <w:rFonts w:hint="eastAsia" w:ascii="宋体" w:hAnsi="宋体" w:cs="宋体"/>
          <w:color w:val="auto"/>
          <w:sz w:val="21"/>
          <w:szCs w:val="21"/>
          <w:highlight w:val="none"/>
        </w:rPr>
        <w:t>附件6：相关技术、商务、服务响应承诺及资料</w:t>
      </w:r>
      <w:bookmarkEnd w:id="21"/>
    </w:p>
    <w:p>
      <w:pPr>
        <w:pStyle w:val="12"/>
        <w:widowControl/>
        <w:spacing w:before="75" w:beforeAutospacing="0" w:after="75" w:afterAutospacing="0" w:line="465" w:lineRule="atLeast"/>
        <w:rPr>
          <w:rFonts w:ascii="宋体" w:hAnsi="宋体" w:cs="宋体"/>
          <w:color w:val="auto"/>
          <w:sz w:val="21"/>
          <w:szCs w:val="21"/>
          <w:highlight w:val="none"/>
        </w:rPr>
      </w:pPr>
      <w:bookmarkStart w:id="22" w:name="_Toc12429_WPSOffice_Level1"/>
      <w:r>
        <w:rPr>
          <w:rFonts w:hint="eastAsia" w:ascii="宋体" w:hAnsi="宋体" w:cs="宋体"/>
          <w:color w:val="auto"/>
          <w:sz w:val="21"/>
          <w:szCs w:val="21"/>
          <w:highlight w:val="none"/>
        </w:rPr>
        <w:t>附件7：供应商提交的其他资料</w:t>
      </w:r>
      <w:bookmarkEnd w:id="22"/>
    </w:p>
    <w:p>
      <w:pPr>
        <w:pStyle w:val="12"/>
        <w:widowControl/>
        <w:spacing w:before="75" w:beforeAutospacing="0" w:after="75" w:afterAutospacing="0" w:line="465" w:lineRule="atLeast"/>
        <w:rPr>
          <w:rFonts w:ascii="宋体" w:hAnsi="宋体" w:cs="宋体"/>
          <w:color w:val="auto"/>
          <w:sz w:val="21"/>
          <w:szCs w:val="21"/>
          <w:highlight w:val="none"/>
        </w:rPr>
      </w:pPr>
      <w:bookmarkStart w:id="23" w:name="_Toc11186_WPSOffice_Level1"/>
      <w:r>
        <w:rPr>
          <w:rFonts w:hint="eastAsia" w:ascii="宋体" w:hAnsi="宋体" w:cs="宋体"/>
          <w:color w:val="auto"/>
          <w:sz w:val="21"/>
          <w:szCs w:val="21"/>
          <w:highlight w:val="none"/>
        </w:rPr>
        <w:t>附件8：要求作为响应文件组成部分的其他内容（若有）</w:t>
      </w:r>
      <w:bookmarkEnd w:id="23"/>
    </w:p>
    <w:p>
      <w:pPr>
        <w:pStyle w:val="12"/>
        <w:widowControl/>
        <w:spacing w:before="75" w:beforeAutospacing="0" w:after="75" w:afterAutospacing="0" w:line="465" w:lineRule="atLeast"/>
        <w:rPr>
          <w:rFonts w:ascii="宋体" w:hAnsi="宋体" w:cs="宋体"/>
          <w:color w:val="auto"/>
          <w:sz w:val="21"/>
          <w:szCs w:val="21"/>
          <w:highlight w:val="none"/>
        </w:rPr>
      </w:pPr>
      <w:r>
        <w:rPr>
          <w:rFonts w:hint="eastAsia" w:ascii="宋体" w:hAnsi="宋体" w:cs="宋体"/>
          <w:color w:val="auto"/>
          <w:sz w:val="21"/>
          <w:szCs w:val="21"/>
          <w:highlight w:val="none"/>
        </w:rPr>
        <w:t> </w:t>
      </w:r>
    </w:p>
    <w:p>
      <w:pPr>
        <w:pStyle w:val="12"/>
        <w:widowControl/>
        <w:spacing w:before="75" w:beforeAutospacing="0" w:after="240" w:afterAutospacing="0" w:line="495" w:lineRule="atLeast"/>
        <w:rPr>
          <w:rFonts w:ascii="宋体" w:hAnsi="宋体" w:cs="宋体"/>
          <w:color w:val="auto"/>
          <w:sz w:val="21"/>
          <w:szCs w:val="21"/>
          <w:highlight w:val="none"/>
        </w:rPr>
      </w:pPr>
      <w:r>
        <w:rPr>
          <w:rFonts w:hint="eastAsia" w:ascii="宋体" w:hAnsi="宋体" w:cs="宋体"/>
          <w:color w:val="auto"/>
          <w:sz w:val="21"/>
          <w:szCs w:val="21"/>
          <w:highlight w:val="none"/>
        </w:rPr>
        <w:t> </w:t>
      </w:r>
    </w:p>
    <w:p>
      <w:pPr>
        <w:pStyle w:val="12"/>
        <w:widowControl/>
        <w:spacing w:before="75" w:beforeAutospacing="0" w:after="75" w:afterAutospacing="0" w:line="495" w:lineRule="atLeast"/>
        <w:jc w:val="center"/>
        <w:rPr>
          <w:rFonts w:ascii="宋体" w:hAnsi="宋体" w:cs="宋体"/>
          <w:color w:val="auto"/>
          <w:sz w:val="21"/>
          <w:szCs w:val="21"/>
          <w:highlight w:val="none"/>
        </w:rPr>
      </w:pPr>
      <w:bookmarkStart w:id="24" w:name="_Toc17989_WPSOffice_Level1"/>
      <w:r>
        <w:rPr>
          <w:rFonts w:hint="eastAsia" w:ascii="宋体" w:hAnsi="宋体" w:cs="宋体"/>
          <w:color w:val="auto"/>
          <w:highlight w:val="none"/>
        </w:rPr>
        <w:br w:type="page"/>
      </w:r>
      <w:r>
        <w:rPr>
          <w:rFonts w:hint="eastAsia" w:ascii="宋体" w:hAnsi="宋体" w:cs="宋体"/>
          <w:b/>
          <w:bCs/>
          <w:color w:val="auto"/>
          <w:sz w:val="21"/>
          <w:szCs w:val="21"/>
          <w:highlight w:val="none"/>
        </w:rPr>
        <w:t>附件1 </w:t>
      </w:r>
      <w:r>
        <w:rPr>
          <w:rFonts w:hint="eastAsia" w:ascii="宋体" w:hAnsi="宋体" w:cs="宋体"/>
          <w:color w:val="auto"/>
          <w:sz w:val="21"/>
          <w:szCs w:val="21"/>
          <w:highlight w:val="none"/>
        </w:rPr>
        <w:t xml:space="preserve"> </w:t>
      </w:r>
      <w:r>
        <w:rPr>
          <w:rStyle w:val="18"/>
          <w:rFonts w:hint="eastAsia" w:ascii="宋体" w:hAnsi="宋体" w:cs="宋体"/>
          <w:color w:val="auto"/>
          <w:sz w:val="21"/>
          <w:szCs w:val="21"/>
          <w:highlight w:val="none"/>
        </w:rPr>
        <w:t>磋商</w:t>
      </w:r>
      <w:bookmarkEnd w:id="24"/>
      <w:r>
        <w:rPr>
          <w:rStyle w:val="18"/>
          <w:rFonts w:hint="eastAsia" w:ascii="宋体" w:hAnsi="宋体" w:cs="宋体"/>
          <w:color w:val="auto"/>
          <w:sz w:val="21"/>
          <w:szCs w:val="21"/>
          <w:highlight w:val="none"/>
        </w:rPr>
        <w:t>响应函</w:t>
      </w:r>
    </w:p>
    <w:p>
      <w:pPr>
        <w:pStyle w:val="12"/>
        <w:widowControl/>
        <w:spacing w:before="75" w:beforeAutospacing="0" w:after="75" w:afterAutospacing="0" w:line="435" w:lineRule="atLeast"/>
        <w:rPr>
          <w:rFonts w:ascii="宋体" w:hAnsi="宋体" w:cs="宋体"/>
          <w:color w:val="auto"/>
          <w:sz w:val="21"/>
          <w:szCs w:val="21"/>
          <w:highlight w:val="none"/>
        </w:rPr>
      </w:pPr>
      <w:r>
        <w:rPr>
          <w:rFonts w:hint="eastAsia" w:ascii="宋体" w:hAnsi="宋体" w:cs="宋体"/>
          <w:color w:val="auto"/>
          <w:sz w:val="21"/>
          <w:szCs w:val="21"/>
          <w:highlight w:val="none"/>
        </w:rPr>
        <w:t> </w:t>
      </w:r>
    </w:p>
    <w:p>
      <w:pPr>
        <w:pStyle w:val="12"/>
        <w:widowControl/>
        <w:spacing w:before="75" w:beforeAutospacing="0" w:after="75" w:afterAutospacing="0" w:line="435" w:lineRule="atLeast"/>
        <w:rPr>
          <w:rFonts w:ascii="宋体" w:hAnsi="宋体" w:cs="宋体"/>
          <w:color w:val="auto"/>
          <w:sz w:val="21"/>
          <w:szCs w:val="21"/>
          <w:highlight w:val="none"/>
        </w:rPr>
      </w:pPr>
      <w:r>
        <w:rPr>
          <w:rFonts w:hint="eastAsia" w:ascii="宋体" w:hAnsi="宋体" w:cs="宋体"/>
          <w:color w:val="auto"/>
          <w:sz w:val="21"/>
          <w:szCs w:val="21"/>
          <w:highlight w:val="none"/>
        </w:rPr>
        <w:t>致：宁德市有信产权交易服务有限公司    </w:t>
      </w:r>
    </w:p>
    <w:p>
      <w:pPr>
        <w:pStyle w:val="12"/>
        <w:widowControl/>
        <w:spacing w:before="75" w:beforeAutospacing="0" w:after="75" w:afterAutospacing="0" w:line="435" w:lineRule="atLeast"/>
        <w:ind w:firstLine="420" w:firstLineChars="200"/>
        <w:rPr>
          <w:rFonts w:ascii="宋体" w:hAnsi="宋体" w:cs="宋体"/>
          <w:color w:val="auto"/>
          <w:sz w:val="21"/>
          <w:szCs w:val="21"/>
          <w:highlight w:val="none"/>
        </w:rPr>
      </w:pPr>
      <w:r>
        <w:rPr>
          <w:rFonts w:hint="eastAsia" w:ascii="宋体" w:hAnsi="宋体" w:cs="宋体"/>
          <w:color w:val="auto"/>
          <w:sz w:val="21"/>
          <w:szCs w:val="21"/>
          <w:highlight w:val="none"/>
        </w:rPr>
        <w:t>1.根据贵方为</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项目（项目编号:</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）的采购公告（或采购邀请书），我方签字代表</w:t>
      </w:r>
      <w:r>
        <w:rPr>
          <w:rFonts w:hint="eastAsia" w:ascii="宋体" w:hAnsi="宋体" w:cs="宋体"/>
          <w:color w:val="auto"/>
          <w:sz w:val="21"/>
          <w:szCs w:val="21"/>
          <w:highlight w:val="none"/>
          <w:u w:val="single"/>
        </w:rPr>
        <w:t>          （全名、职务）   </w:t>
      </w:r>
      <w:r>
        <w:rPr>
          <w:rFonts w:hint="eastAsia" w:ascii="宋体" w:hAnsi="宋体" w:cs="宋体"/>
          <w:color w:val="auto"/>
          <w:sz w:val="21"/>
          <w:szCs w:val="21"/>
          <w:highlight w:val="none"/>
        </w:rPr>
        <w:t>经正式授权并代表的供应商</w:t>
      </w:r>
      <w:r>
        <w:rPr>
          <w:rFonts w:hint="eastAsia" w:ascii="宋体" w:hAnsi="宋体" w:cs="宋体"/>
          <w:color w:val="auto"/>
          <w:sz w:val="21"/>
          <w:szCs w:val="21"/>
          <w:highlight w:val="none"/>
          <w:u w:val="single"/>
        </w:rPr>
        <w:t>          （供应商名称、地址）    </w:t>
      </w:r>
      <w:r>
        <w:rPr>
          <w:rFonts w:hint="eastAsia" w:ascii="宋体" w:hAnsi="宋体" w:cs="宋体"/>
          <w:color w:val="auto"/>
          <w:sz w:val="21"/>
          <w:szCs w:val="21"/>
          <w:highlight w:val="none"/>
        </w:rPr>
        <w:t>提交包含下述内容的首次响应文件纸质文本正本</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套，副本</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套及电子文档</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套。</w:t>
      </w:r>
    </w:p>
    <w:p>
      <w:pPr>
        <w:pStyle w:val="12"/>
        <w:widowControl/>
        <w:spacing w:before="75" w:beforeAutospacing="0" w:after="75" w:afterAutospacing="0" w:line="435" w:lineRule="atLeast"/>
        <w:ind w:firstLine="480"/>
        <w:rPr>
          <w:rFonts w:ascii="宋体" w:hAnsi="宋体" w:cs="宋体"/>
          <w:color w:val="auto"/>
          <w:sz w:val="21"/>
          <w:szCs w:val="21"/>
          <w:highlight w:val="none"/>
        </w:rPr>
      </w:pPr>
      <w:r>
        <w:rPr>
          <w:rFonts w:hint="eastAsia" w:ascii="宋体" w:hAnsi="宋体" w:cs="宋体"/>
          <w:color w:val="auto"/>
          <w:sz w:val="21"/>
          <w:szCs w:val="21"/>
          <w:highlight w:val="none"/>
        </w:rPr>
        <w:t>（1）响应函</w:t>
      </w:r>
    </w:p>
    <w:p>
      <w:pPr>
        <w:pStyle w:val="12"/>
        <w:widowControl/>
        <w:spacing w:before="75" w:beforeAutospacing="0" w:after="75" w:afterAutospacing="0" w:line="435" w:lineRule="atLeast"/>
        <w:ind w:firstLine="480"/>
        <w:rPr>
          <w:rFonts w:ascii="宋体" w:hAnsi="宋体" w:cs="宋体"/>
          <w:color w:val="auto"/>
          <w:sz w:val="21"/>
          <w:szCs w:val="21"/>
          <w:highlight w:val="none"/>
        </w:rPr>
      </w:pPr>
      <w:r>
        <w:rPr>
          <w:rFonts w:hint="eastAsia" w:ascii="宋体" w:hAnsi="宋体" w:cs="宋体"/>
          <w:color w:val="auto"/>
          <w:sz w:val="21"/>
          <w:szCs w:val="21"/>
          <w:highlight w:val="none"/>
        </w:rPr>
        <w:t>（2）报价一览表（含详细报价书）</w:t>
      </w:r>
    </w:p>
    <w:p>
      <w:pPr>
        <w:pStyle w:val="12"/>
        <w:widowControl/>
        <w:spacing w:before="75" w:beforeAutospacing="0" w:after="75" w:afterAutospacing="0" w:line="435" w:lineRule="atLeast"/>
        <w:ind w:firstLine="480"/>
        <w:rPr>
          <w:rFonts w:ascii="宋体" w:hAnsi="宋体" w:cs="宋体"/>
          <w:color w:val="auto"/>
          <w:sz w:val="21"/>
          <w:szCs w:val="21"/>
          <w:highlight w:val="none"/>
        </w:rPr>
      </w:pPr>
      <w:r>
        <w:rPr>
          <w:rFonts w:hint="eastAsia" w:ascii="宋体" w:hAnsi="宋体" w:cs="宋体"/>
          <w:color w:val="auto"/>
          <w:sz w:val="21"/>
          <w:szCs w:val="21"/>
          <w:highlight w:val="none"/>
        </w:rPr>
        <w:t>（3）资格证明文件</w:t>
      </w:r>
    </w:p>
    <w:p>
      <w:pPr>
        <w:pStyle w:val="12"/>
        <w:widowControl/>
        <w:spacing w:before="75" w:beforeAutospacing="0" w:after="75" w:afterAutospacing="0" w:line="435" w:lineRule="atLeast"/>
        <w:ind w:firstLine="480"/>
        <w:rPr>
          <w:rFonts w:ascii="宋体" w:hAnsi="宋体" w:cs="宋体"/>
          <w:color w:val="auto"/>
          <w:sz w:val="21"/>
          <w:szCs w:val="21"/>
          <w:highlight w:val="none"/>
        </w:rPr>
      </w:pPr>
      <w:r>
        <w:rPr>
          <w:rFonts w:hint="eastAsia" w:ascii="宋体" w:hAnsi="宋体" w:cs="宋体"/>
          <w:color w:val="auto"/>
          <w:sz w:val="21"/>
          <w:szCs w:val="21"/>
          <w:highlight w:val="none"/>
        </w:rPr>
        <w:t>（4）磋商保证金凭证</w:t>
      </w:r>
    </w:p>
    <w:p>
      <w:pPr>
        <w:pStyle w:val="12"/>
        <w:widowControl/>
        <w:spacing w:before="75" w:beforeAutospacing="0" w:after="75" w:afterAutospacing="0" w:line="435" w:lineRule="atLeast"/>
        <w:ind w:firstLine="480"/>
        <w:rPr>
          <w:rFonts w:ascii="宋体" w:hAnsi="宋体" w:cs="宋体"/>
          <w:color w:val="auto"/>
          <w:sz w:val="21"/>
          <w:szCs w:val="21"/>
          <w:highlight w:val="none"/>
        </w:rPr>
      </w:pPr>
      <w:r>
        <w:rPr>
          <w:rFonts w:hint="eastAsia" w:ascii="宋体" w:hAnsi="宋体" w:cs="宋体"/>
          <w:color w:val="auto"/>
          <w:sz w:val="21"/>
          <w:szCs w:val="21"/>
          <w:highlight w:val="none"/>
        </w:rPr>
        <w:t>（5）技术和商务偏离表</w:t>
      </w:r>
    </w:p>
    <w:p>
      <w:pPr>
        <w:pStyle w:val="12"/>
        <w:widowControl/>
        <w:spacing w:before="75" w:beforeAutospacing="0" w:after="75" w:afterAutospacing="0" w:line="435" w:lineRule="atLeast"/>
        <w:ind w:firstLine="480"/>
        <w:rPr>
          <w:rFonts w:ascii="宋体" w:hAnsi="宋体" w:cs="宋体"/>
          <w:color w:val="auto"/>
          <w:sz w:val="21"/>
          <w:szCs w:val="21"/>
          <w:highlight w:val="none"/>
        </w:rPr>
      </w:pPr>
      <w:r>
        <w:rPr>
          <w:rFonts w:hint="eastAsia" w:ascii="宋体" w:hAnsi="宋体" w:cs="宋体"/>
          <w:color w:val="auto"/>
          <w:sz w:val="21"/>
          <w:szCs w:val="21"/>
          <w:highlight w:val="none"/>
        </w:rPr>
        <w:t>（6）相关技术、商务、服务响应承诺及资料</w:t>
      </w:r>
    </w:p>
    <w:p>
      <w:pPr>
        <w:pStyle w:val="12"/>
        <w:widowControl/>
        <w:spacing w:before="75" w:beforeAutospacing="0" w:after="75" w:afterAutospacing="0" w:line="435" w:lineRule="atLeast"/>
        <w:ind w:firstLine="480"/>
        <w:rPr>
          <w:rFonts w:ascii="宋体" w:hAnsi="宋体" w:cs="宋体"/>
          <w:color w:val="auto"/>
          <w:sz w:val="21"/>
          <w:szCs w:val="21"/>
          <w:highlight w:val="none"/>
        </w:rPr>
      </w:pPr>
      <w:r>
        <w:rPr>
          <w:rFonts w:hint="eastAsia" w:ascii="宋体" w:hAnsi="宋体" w:cs="宋体"/>
          <w:color w:val="auto"/>
          <w:sz w:val="21"/>
          <w:szCs w:val="21"/>
          <w:highlight w:val="none"/>
        </w:rPr>
        <w:t>（7）供应商提交的其他资料</w:t>
      </w:r>
    </w:p>
    <w:p>
      <w:pPr>
        <w:pStyle w:val="12"/>
        <w:widowControl/>
        <w:spacing w:before="75" w:beforeAutospacing="0" w:after="75" w:afterAutospacing="0" w:line="435" w:lineRule="atLeast"/>
        <w:ind w:firstLine="480"/>
        <w:rPr>
          <w:rFonts w:ascii="宋体" w:hAnsi="宋体" w:cs="宋体"/>
          <w:color w:val="auto"/>
          <w:sz w:val="21"/>
          <w:szCs w:val="21"/>
          <w:highlight w:val="none"/>
        </w:rPr>
      </w:pPr>
      <w:r>
        <w:rPr>
          <w:rFonts w:hint="eastAsia" w:ascii="宋体" w:hAnsi="宋体" w:cs="宋体"/>
          <w:color w:val="auto"/>
          <w:sz w:val="21"/>
          <w:szCs w:val="21"/>
          <w:highlight w:val="none"/>
        </w:rPr>
        <w:t>（8）按照磋商文件规定，要求作为响应文件组成部分的其他内容（若有）</w:t>
      </w:r>
    </w:p>
    <w:p>
      <w:pPr>
        <w:pStyle w:val="12"/>
        <w:widowControl/>
        <w:spacing w:before="75" w:beforeAutospacing="0" w:after="75" w:afterAutospacing="0" w:line="435" w:lineRule="atLeast"/>
        <w:ind w:firstLine="420" w:firstLineChars="200"/>
        <w:rPr>
          <w:rFonts w:ascii="宋体" w:hAnsi="宋体" w:cs="宋体"/>
          <w:color w:val="auto"/>
          <w:sz w:val="21"/>
          <w:szCs w:val="21"/>
          <w:highlight w:val="none"/>
        </w:rPr>
      </w:pPr>
      <w:r>
        <w:rPr>
          <w:rFonts w:hint="eastAsia" w:ascii="宋体" w:hAnsi="宋体" w:cs="宋体"/>
          <w:color w:val="auto"/>
          <w:sz w:val="21"/>
          <w:szCs w:val="21"/>
          <w:highlight w:val="none"/>
        </w:rPr>
        <w:t>2.据此函，我方宣布响应承诺如下：</w:t>
      </w:r>
    </w:p>
    <w:p>
      <w:pPr>
        <w:pStyle w:val="12"/>
        <w:widowControl/>
        <w:spacing w:before="75" w:beforeAutospacing="0" w:after="75" w:afterAutospacing="0" w:line="435" w:lineRule="atLeast"/>
        <w:ind w:firstLine="420" w:firstLineChars="200"/>
        <w:rPr>
          <w:rFonts w:ascii="宋体" w:hAnsi="宋体" w:cs="宋体"/>
          <w:color w:val="auto"/>
          <w:sz w:val="21"/>
          <w:szCs w:val="21"/>
          <w:highlight w:val="none"/>
        </w:rPr>
      </w:pPr>
      <w:r>
        <w:rPr>
          <w:rFonts w:hint="eastAsia" w:ascii="宋体" w:hAnsi="宋体" w:cs="宋体"/>
          <w:color w:val="auto"/>
          <w:sz w:val="21"/>
          <w:szCs w:val="21"/>
          <w:highlight w:val="none"/>
        </w:rPr>
        <w:t>2.1我方已详细审查全部竞争性磋商文件，包括澄清、修改、补充或更正文件（如有的话）和有关附件，我方完全熟悉和理解其中的要求、条款和条件，且无任何异议。除了我方已在技术和商务偏离表中列出的负偏差和不响应外，我方承诺将按竞争性磋商文件的各项规定履行合同责任和义务。竞争性磋商文件及其附件资料如果有涉及应当保密的内容，我方将严格遵守规定，不将应当保密的内容泄密给第三方或另作它用，如有违反，采购人可依法追究我方的法律责任。</w:t>
      </w:r>
    </w:p>
    <w:p>
      <w:pPr>
        <w:pStyle w:val="12"/>
        <w:widowControl/>
        <w:spacing w:before="75" w:beforeAutospacing="0" w:after="75" w:afterAutospacing="0" w:line="435" w:lineRule="atLeast"/>
        <w:ind w:firstLine="420" w:firstLineChars="200"/>
        <w:rPr>
          <w:rFonts w:ascii="宋体" w:hAnsi="宋体" w:cs="宋体"/>
          <w:color w:val="auto"/>
          <w:sz w:val="21"/>
          <w:szCs w:val="21"/>
          <w:highlight w:val="none"/>
        </w:rPr>
      </w:pPr>
      <w:r>
        <w:rPr>
          <w:rFonts w:hint="eastAsia" w:ascii="宋体" w:hAnsi="宋体" w:cs="宋体"/>
          <w:color w:val="auto"/>
          <w:sz w:val="21"/>
          <w:szCs w:val="21"/>
          <w:highlight w:val="none"/>
        </w:rPr>
        <w:t>2.2一旦我方获得成交，我方将按照竞争性磋商文件的要求和我方提交的响应文件（包括首次响应文件、补充澄清、最后报价等响应文件）中的承诺，投入项目所需相关资源，并在合同约定的期限内组织有经验的人员做好项目的实施和服务工作。贵方向我方发出成交通知书后，我方承诺遵守国家相关法律和竞争性磋商文件的要求，并在规定的期限内与采购人签订合同。</w:t>
      </w:r>
    </w:p>
    <w:p>
      <w:pPr>
        <w:pStyle w:val="12"/>
        <w:widowControl/>
        <w:spacing w:before="75" w:beforeAutospacing="0" w:after="75" w:afterAutospacing="0" w:line="435" w:lineRule="atLeast"/>
        <w:ind w:firstLine="420" w:firstLineChars="200"/>
        <w:rPr>
          <w:rFonts w:ascii="宋体" w:hAnsi="宋体" w:cs="宋体"/>
          <w:color w:val="auto"/>
          <w:sz w:val="21"/>
          <w:szCs w:val="21"/>
          <w:highlight w:val="none"/>
        </w:rPr>
      </w:pPr>
      <w:r>
        <w:rPr>
          <w:rFonts w:hint="eastAsia" w:ascii="宋体" w:hAnsi="宋体" w:cs="宋体"/>
          <w:color w:val="auto"/>
          <w:sz w:val="21"/>
          <w:szCs w:val="21"/>
          <w:highlight w:val="none"/>
        </w:rPr>
        <w:t>2.3我方承诺：递交的所有响应文件（包括首次响应文件、补充澄清、最后报价等响应文件）在竞争性磋商须知前附表规定的响应文件有效期内始终保持有效，我方将受此约束。我方对响应文件中的所有承诺、声明、数据和资料的真实性、准确性、合法性、有效性负责；我方响应文件中有关复印件或扫描件资料均与原件一致。如有违反，我方将承担法律责任和后果。</w:t>
      </w:r>
    </w:p>
    <w:p>
      <w:pPr>
        <w:pStyle w:val="12"/>
        <w:widowControl/>
        <w:spacing w:before="75" w:beforeAutospacing="0" w:after="75" w:afterAutospacing="0" w:line="435" w:lineRule="atLeast"/>
        <w:ind w:firstLine="420" w:firstLineChars="200"/>
        <w:rPr>
          <w:rFonts w:ascii="宋体" w:hAnsi="宋体" w:cs="宋体"/>
          <w:color w:val="auto"/>
          <w:sz w:val="21"/>
          <w:szCs w:val="21"/>
          <w:highlight w:val="none"/>
        </w:rPr>
      </w:pPr>
      <w:r>
        <w:rPr>
          <w:rFonts w:hint="eastAsia" w:ascii="宋体" w:hAnsi="宋体" w:cs="宋体"/>
          <w:color w:val="auto"/>
          <w:sz w:val="21"/>
          <w:szCs w:val="21"/>
          <w:highlight w:val="none"/>
        </w:rPr>
        <w:t>2.4我方已经按照磋商文件要求提交磋商保证金。我方如果发生任何竞争性磋商文件中所述不予退还磋商保证金的情况，则我方的磋商保证金将被贵方不予退还，我方对此无异议。</w:t>
      </w:r>
    </w:p>
    <w:p>
      <w:pPr>
        <w:pStyle w:val="12"/>
        <w:widowControl/>
        <w:spacing w:before="75" w:beforeAutospacing="0" w:after="75" w:afterAutospacing="0" w:line="435" w:lineRule="atLeast"/>
        <w:ind w:firstLine="420" w:firstLineChars="200"/>
        <w:rPr>
          <w:rFonts w:ascii="宋体" w:hAnsi="宋体" w:cs="宋体"/>
          <w:color w:val="auto"/>
          <w:sz w:val="21"/>
          <w:szCs w:val="21"/>
          <w:highlight w:val="none"/>
        </w:rPr>
      </w:pPr>
      <w:r>
        <w:rPr>
          <w:rFonts w:hint="eastAsia" w:ascii="宋体" w:hAnsi="宋体" w:cs="宋体"/>
          <w:color w:val="auto"/>
          <w:sz w:val="21"/>
          <w:szCs w:val="21"/>
          <w:highlight w:val="none"/>
        </w:rPr>
        <w:t>2.5我方愿意向贵方提供任何与本项目磋商采购有关的数据或资料。若贵方需要，我方愿意提供我方作出的一切承诺的证明材料。</w:t>
      </w:r>
    </w:p>
    <w:p>
      <w:pPr>
        <w:pStyle w:val="12"/>
        <w:widowControl/>
        <w:spacing w:before="75" w:beforeAutospacing="0" w:after="75" w:afterAutospacing="0" w:line="435" w:lineRule="atLeast"/>
        <w:rPr>
          <w:rFonts w:ascii="宋体" w:hAnsi="宋体" w:cs="宋体"/>
          <w:color w:val="auto"/>
          <w:sz w:val="21"/>
          <w:szCs w:val="21"/>
          <w:highlight w:val="none"/>
        </w:rPr>
      </w:pPr>
      <w:r>
        <w:rPr>
          <w:rFonts w:hint="eastAsia" w:ascii="宋体" w:hAnsi="宋体" w:cs="宋体"/>
          <w:color w:val="auto"/>
          <w:sz w:val="21"/>
          <w:szCs w:val="21"/>
          <w:highlight w:val="none"/>
        </w:rPr>
        <w:t>  2.6我方联系方式、电子信箱和通信地址等信息如下，用于接受贵方发出的与本次磋商活动有关的一切往来信息或通知（包括补充、澄清和成交通知等），我方自行承担信息错误、通讯设备故障或延误查收信息给我方带来的后果和责任。贵方按我方写明的下述联系方式、电子信箱或通信地址发出任何信息或通知，均视同为我方已收悉并知晓，我方均予以认可。</w:t>
      </w:r>
    </w:p>
    <w:p>
      <w:pPr>
        <w:pStyle w:val="12"/>
        <w:widowControl/>
        <w:spacing w:before="75" w:beforeAutospacing="0" w:after="75" w:afterAutospacing="0" w:line="435" w:lineRule="atLeast"/>
        <w:rPr>
          <w:rFonts w:ascii="宋体" w:hAnsi="宋体" w:cs="宋体"/>
          <w:color w:val="auto"/>
          <w:sz w:val="21"/>
          <w:szCs w:val="21"/>
          <w:highlight w:val="none"/>
        </w:rPr>
      </w:pPr>
      <w:r>
        <w:rPr>
          <w:rFonts w:hint="eastAsia" w:ascii="宋体" w:hAnsi="宋体" w:cs="宋体"/>
          <w:color w:val="auto"/>
          <w:sz w:val="21"/>
          <w:szCs w:val="21"/>
          <w:highlight w:val="none"/>
        </w:rPr>
        <w:t> </w:t>
      </w:r>
    </w:p>
    <w:p>
      <w:pPr>
        <w:pStyle w:val="12"/>
        <w:widowControl/>
        <w:spacing w:before="75" w:beforeAutospacing="0" w:after="75" w:afterAutospacing="0" w:line="435" w:lineRule="atLeast"/>
        <w:ind w:firstLine="720"/>
        <w:rPr>
          <w:rFonts w:ascii="宋体" w:hAnsi="宋体" w:cs="宋体"/>
          <w:color w:val="auto"/>
          <w:sz w:val="21"/>
          <w:szCs w:val="21"/>
          <w:highlight w:val="none"/>
        </w:rPr>
      </w:pPr>
      <w:r>
        <w:rPr>
          <w:rFonts w:hint="eastAsia" w:ascii="宋体" w:hAnsi="宋体" w:cs="宋体"/>
          <w:color w:val="auto"/>
          <w:sz w:val="21"/>
          <w:szCs w:val="21"/>
          <w:highlight w:val="none"/>
        </w:rPr>
        <w:t> </w:t>
      </w:r>
    </w:p>
    <w:p>
      <w:pPr>
        <w:pStyle w:val="12"/>
        <w:widowControl/>
        <w:spacing w:before="75" w:beforeAutospacing="0" w:after="75" w:afterAutospacing="0" w:line="435" w:lineRule="atLeast"/>
        <w:ind w:firstLine="720"/>
        <w:rPr>
          <w:rFonts w:ascii="宋体" w:hAnsi="宋体" w:cs="宋体"/>
          <w:color w:val="auto"/>
          <w:sz w:val="21"/>
          <w:szCs w:val="21"/>
          <w:highlight w:val="none"/>
        </w:rPr>
      </w:pPr>
      <w:r>
        <w:rPr>
          <w:rFonts w:hint="eastAsia" w:ascii="宋体" w:hAnsi="宋体" w:cs="宋体"/>
          <w:color w:val="auto"/>
          <w:sz w:val="21"/>
          <w:szCs w:val="21"/>
          <w:highlight w:val="none"/>
        </w:rPr>
        <w:t>通信地址:</w:t>
      </w:r>
      <w:r>
        <w:rPr>
          <w:rFonts w:hint="eastAsia" w:ascii="宋体" w:hAnsi="宋体" w:cs="宋体"/>
          <w:color w:val="auto"/>
          <w:sz w:val="21"/>
          <w:szCs w:val="21"/>
          <w:highlight w:val="none"/>
          <w:u w:val="single"/>
        </w:rPr>
        <w:t>                                          .</w:t>
      </w:r>
    </w:p>
    <w:p>
      <w:pPr>
        <w:pStyle w:val="12"/>
        <w:widowControl/>
        <w:spacing w:before="75" w:beforeAutospacing="0" w:after="75" w:afterAutospacing="0" w:line="435" w:lineRule="atLeast"/>
        <w:ind w:firstLine="720"/>
        <w:rPr>
          <w:rFonts w:ascii="宋体" w:hAnsi="宋体" w:cs="宋体"/>
          <w:color w:val="auto"/>
          <w:sz w:val="21"/>
          <w:szCs w:val="21"/>
          <w:highlight w:val="none"/>
        </w:rPr>
      </w:pPr>
      <w:r>
        <w:rPr>
          <w:rFonts w:hint="eastAsia" w:ascii="宋体" w:hAnsi="宋体" w:cs="宋体"/>
          <w:color w:val="auto"/>
          <w:sz w:val="21"/>
          <w:szCs w:val="21"/>
          <w:highlight w:val="none"/>
        </w:rPr>
        <w:t>邮编：</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   传真号：</w:t>
      </w:r>
      <w:r>
        <w:rPr>
          <w:rFonts w:hint="eastAsia" w:ascii="宋体" w:hAnsi="宋体" w:cs="宋体"/>
          <w:color w:val="auto"/>
          <w:sz w:val="21"/>
          <w:szCs w:val="21"/>
          <w:highlight w:val="none"/>
          <w:u w:val="single"/>
        </w:rPr>
        <w:t>               .</w:t>
      </w:r>
    </w:p>
    <w:p>
      <w:pPr>
        <w:pStyle w:val="12"/>
        <w:widowControl/>
        <w:spacing w:before="75" w:beforeAutospacing="0" w:after="75" w:afterAutospacing="0" w:line="435" w:lineRule="atLeast"/>
        <w:rPr>
          <w:rFonts w:ascii="宋体" w:hAnsi="宋体" w:cs="宋体"/>
          <w:color w:val="auto"/>
          <w:sz w:val="21"/>
          <w:szCs w:val="21"/>
          <w:highlight w:val="none"/>
        </w:rPr>
      </w:pPr>
      <w:r>
        <w:rPr>
          <w:rFonts w:hint="eastAsia" w:ascii="宋体" w:hAnsi="宋体" w:cs="宋体"/>
          <w:color w:val="auto"/>
          <w:sz w:val="21"/>
          <w:szCs w:val="21"/>
          <w:highlight w:val="none"/>
        </w:rPr>
        <w:t>    联系电话（固定电话和移动电话）：</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w:t>
      </w:r>
    </w:p>
    <w:p>
      <w:pPr>
        <w:pStyle w:val="12"/>
        <w:widowControl/>
        <w:spacing w:before="75" w:beforeAutospacing="0" w:after="75" w:afterAutospacing="0" w:line="435" w:lineRule="atLeast"/>
        <w:rPr>
          <w:rFonts w:ascii="宋体" w:hAnsi="宋体" w:cs="宋体"/>
          <w:color w:val="auto"/>
          <w:sz w:val="21"/>
          <w:szCs w:val="21"/>
          <w:highlight w:val="none"/>
        </w:rPr>
      </w:pPr>
      <w:r>
        <w:rPr>
          <w:rFonts w:hint="eastAsia" w:ascii="宋体" w:hAnsi="宋体" w:cs="宋体"/>
          <w:color w:val="auto"/>
          <w:sz w:val="21"/>
          <w:szCs w:val="21"/>
          <w:highlight w:val="none"/>
        </w:rPr>
        <w:t>    供应商代表：</w:t>
      </w:r>
      <w:r>
        <w:rPr>
          <w:rFonts w:hint="eastAsia" w:ascii="宋体" w:hAnsi="宋体" w:cs="宋体"/>
          <w:color w:val="auto"/>
          <w:sz w:val="21"/>
          <w:szCs w:val="21"/>
          <w:highlight w:val="none"/>
          <w:u w:val="single"/>
        </w:rPr>
        <w:t>             （签字）                  </w:t>
      </w:r>
    </w:p>
    <w:p>
      <w:pPr>
        <w:pStyle w:val="12"/>
        <w:widowControl/>
        <w:spacing w:before="75" w:beforeAutospacing="0" w:after="75" w:afterAutospacing="0" w:line="435" w:lineRule="atLeast"/>
        <w:ind w:firstLine="720"/>
        <w:rPr>
          <w:rFonts w:ascii="宋体" w:hAnsi="宋体" w:cs="宋体"/>
          <w:color w:val="auto"/>
          <w:sz w:val="21"/>
          <w:szCs w:val="21"/>
          <w:highlight w:val="none"/>
        </w:rPr>
      </w:pPr>
      <w:r>
        <w:rPr>
          <w:rFonts w:hint="eastAsia" w:ascii="宋体" w:hAnsi="宋体" w:cs="宋体"/>
          <w:color w:val="auto"/>
          <w:sz w:val="21"/>
          <w:szCs w:val="21"/>
          <w:highlight w:val="none"/>
        </w:rPr>
        <w:t>供应商代表电子信箱：</w:t>
      </w:r>
      <w:r>
        <w:rPr>
          <w:rFonts w:hint="eastAsia" w:ascii="宋体" w:hAnsi="宋体" w:cs="宋体"/>
          <w:color w:val="auto"/>
          <w:sz w:val="21"/>
          <w:szCs w:val="21"/>
          <w:highlight w:val="none"/>
          <w:u w:val="single"/>
        </w:rPr>
        <w:t>                                   .</w:t>
      </w:r>
    </w:p>
    <w:p>
      <w:pPr>
        <w:pStyle w:val="12"/>
        <w:widowControl/>
        <w:spacing w:before="75" w:beforeAutospacing="0" w:after="75" w:afterAutospacing="0" w:line="435" w:lineRule="atLeast"/>
        <w:rPr>
          <w:rFonts w:ascii="宋体" w:hAnsi="宋体" w:cs="宋体"/>
          <w:color w:val="auto"/>
          <w:sz w:val="21"/>
          <w:szCs w:val="21"/>
          <w:highlight w:val="none"/>
        </w:rPr>
      </w:pPr>
      <w:r>
        <w:rPr>
          <w:rFonts w:hint="eastAsia" w:ascii="宋体" w:hAnsi="宋体" w:cs="宋体"/>
          <w:color w:val="auto"/>
          <w:sz w:val="21"/>
          <w:szCs w:val="21"/>
          <w:highlight w:val="none"/>
        </w:rPr>
        <w:t>    供应商：</w:t>
      </w:r>
      <w:r>
        <w:rPr>
          <w:rFonts w:hint="eastAsia" w:ascii="宋体" w:hAnsi="宋体" w:cs="宋体"/>
          <w:color w:val="auto"/>
          <w:sz w:val="21"/>
          <w:szCs w:val="21"/>
          <w:highlight w:val="none"/>
          <w:u w:val="single"/>
        </w:rPr>
        <w:t>         （全称并加盖公章）              .</w:t>
      </w:r>
    </w:p>
    <w:p>
      <w:pPr>
        <w:pStyle w:val="12"/>
        <w:widowControl/>
        <w:spacing w:before="75" w:beforeAutospacing="0" w:after="75" w:afterAutospacing="0" w:line="435" w:lineRule="atLeast"/>
        <w:ind w:firstLine="480"/>
        <w:rPr>
          <w:rFonts w:ascii="宋体" w:hAnsi="宋体" w:cs="宋体"/>
          <w:color w:val="auto"/>
          <w:sz w:val="21"/>
          <w:szCs w:val="21"/>
          <w:highlight w:val="none"/>
        </w:rPr>
      </w:pPr>
      <w:r>
        <w:rPr>
          <w:rFonts w:hint="eastAsia" w:ascii="宋体" w:hAnsi="宋体" w:cs="宋体"/>
          <w:color w:val="auto"/>
          <w:sz w:val="21"/>
          <w:szCs w:val="21"/>
          <w:highlight w:val="none"/>
        </w:rPr>
        <w:t> 日  期： </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年 </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月 </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日</w:t>
      </w:r>
    </w:p>
    <w:p>
      <w:pPr>
        <w:pStyle w:val="12"/>
        <w:widowControl/>
        <w:spacing w:before="75" w:beforeAutospacing="0" w:after="75" w:afterAutospacing="0" w:line="435" w:lineRule="atLeast"/>
        <w:rPr>
          <w:rFonts w:ascii="宋体" w:hAnsi="宋体" w:cs="宋体"/>
          <w:color w:val="auto"/>
          <w:sz w:val="21"/>
          <w:szCs w:val="21"/>
          <w:highlight w:val="none"/>
        </w:rPr>
      </w:pPr>
      <w:r>
        <w:rPr>
          <w:rFonts w:hint="eastAsia" w:ascii="宋体" w:hAnsi="宋体" w:cs="宋体"/>
          <w:color w:val="auto"/>
          <w:sz w:val="21"/>
          <w:szCs w:val="21"/>
          <w:highlight w:val="none"/>
        </w:rPr>
        <w:t> </w:t>
      </w:r>
    </w:p>
    <w:p>
      <w:pPr>
        <w:pStyle w:val="12"/>
        <w:widowControl/>
        <w:spacing w:before="75" w:beforeAutospacing="0" w:after="75" w:afterAutospacing="0" w:line="435" w:lineRule="atLeast"/>
        <w:rPr>
          <w:rFonts w:ascii="宋体" w:hAnsi="宋体" w:cs="宋体"/>
          <w:color w:val="auto"/>
          <w:sz w:val="21"/>
          <w:szCs w:val="21"/>
          <w:highlight w:val="none"/>
        </w:rPr>
      </w:pPr>
      <w:r>
        <w:rPr>
          <w:rStyle w:val="18"/>
          <w:rFonts w:hint="eastAsia" w:ascii="宋体" w:hAnsi="宋体" w:cs="宋体"/>
          <w:color w:val="auto"/>
          <w:sz w:val="21"/>
          <w:szCs w:val="21"/>
          <w:highlight w:val="none"/>
        </w:rPr>
        <w:t> </w:t>
      </w:r>
    </w:p>
    <w:p>
      <w:pPr>
        <w:pStyle w:val="12"/>
        <w:widowControl/>
        <w:spacing w:before="75" w:beforeAutospacing="0" w:after="75" w:afterAutospacing="0" w:line="375" w:lineRule="atLeast"/>
        <w:rPr>
          <w:rFonts w:ascii="宋体" w:hAnsi="宋体" w:cs="宋体"/>
          <w:color w:val="auto"/>
          <w:sz w:val="21"/>
          <w:szCs w:val="21"/>
          <w:highlight w:val="none"/>
        </w:rPr>
      </w:pPr>
      <w:r>
        <w:rPr>
          <w:rStyle w:val="18"/>
          <w:rFonts w:hint="eastAsia" w:ascii="宋体" w:hAnsi="宋体" w:cs="宋体"/>
          <w:color w:val="auto"/>
          <w:sz w:val="21"/>
          <w:szCs w:val="21"/>
          <w:highlight w:val="none"/>
        </w:rPr>
        <w:t> </w:t>
      </w:r>
    </w:p>
    <w:p>
      <w:pPr>
        <w:pStyle w:val="12"/>
        <w:widowControl/>
        <w:spacing w:before="75" w:beforeAutospacing="0" w:after="75" w:afterAutospacing="0"/>
        <w:rPr>
          <w:rFonts w:ascii="宋体" w:hAnsi="宋体" w:cs="宋体"/>
          <w:color w:val="auto"/>
          <w:sz w:val="21"/>
          <w:szCs w:val="21"/>
          <w:highlight w:val="none"/>
        </w:rPr>
      </w:pPr>
      <w:r>
        <w:rPr>
          <w:rFonts w:hint="eastAsia" w:ascii="宋体" w:hAnsi="宋体" w:cs="宋体"/>
          <w:color w:val="auto"/>
          <w:sz w:val="21"/>
          <w:szCs w:val="21"/>
          <w:highlight w:val="none"/>
        </w:rPr>
        <w:t> </w:t>
      </w:r>
    </w:p>
    <w:p>
      <w:pPr>
        <w:pStyle w:val="12"/>
        <w:widowControl/>
        <w:spacing w:before="75" w:beforeAutospacing="0" w:after="75" w:afterAutospacing="0"/>
        <w:jc w:val="center"/>
        <w:rPr>
          <w:rFonts w:ascii="宋体" w:hAnsi="宋体" w:cs="宋体"/>
          <w:color w:val="auto"/>
          <w:sz w:val="21"/>
          <w:szCs w:val="21"/>
          <w:highlight w:val="none"/>
        </w:rPr>
      </w:pPr>
      <w:bookmarkStart w:id="25" w:name="_Toc13113_WPSOffice_Level1"/>
      <w:r>
        <w:rPr>
          <w:rFonts w:hint="eastAsia" w:ascii="宋体" w:hAnsi="宋体" w:cs="宋体"/>
          <w:color w:val="auto"/>
          <w:sz w:val="21"/>
          <w:szCs w:val="21"/>
          <w:highlight w:val="none"/>
        </w:rPr>
        <w:br w:type="page"/>
      </w:r>
      <w:bookmarkEnd w:id="25"/>
      <w:r>
        <w:rPr>
          <w:rFonts w:hint="eastAsia" w:ascii="宋体" w:hAnsi="宋体" w:cs="宋体"/>
          <w:b/>
          <w:bCs/>
          <w:color w:val="auto"/>
          <w:sz w:val="21"/>
          <w:szCs w:val="21"/>
          <w:highlight w:val="none"/>
        </w:rPr>
        <w:t>附件2  </w:t>
      </w:r>
      <w:r>
        <w:rPr>
          <w:rStyle w:val="18"/>
          <w:rFonts w:hint="eastAsia" w:ascii="宋体" w:hAnsi="宋体" w:cs="宋体"/>
          <w:color w:val="auto"/>
          <w:sz w:val="21"/>
          <w:szCs w:val="21"/>
          <w:highlight w:val="none"/>
        </w:rPr>
        <w:t>报价一览表</w:t>
      </w:r>
    </w:p>
    <w:p>
      <w:pPr>
        <w:pStyle w:val="12"/>
        <w:widowControl/>
        <w:spacing w:before="75" w:beforeAutospacing="0" w:after="75" w:afterAutospacing="0" w:line="375" w:lineRule="atLeast"/>
        <w:rPr>
          <w:rFonts w:ascii="宋体" w:hAnsi="宋体" w:cs="宋体"/>
          <w:color w:val="auto"/>
          <w:sz w:val="21"/>
          <w:szCs w:val="21"/>
          <w:highlight w:val="none"/>
        </w:rPr>
      </w:pPr>
      <w:r>
        <w:rPr>
          <w:rFonts w:hint="eastAsia" w:ascii="宋体" w:hAnsi="宋体" w:cs="宋体"/>
          <w:color w:val="auto"/>
          <w:sz w:val="21"/>
          <w:szCs w:val="21"/>
          <w:highlight w:val="none"/>
        </w:rPr>
        <w:t> </w:t>
      </w:r>
    </w:p>
    <w:p>
      <w:pPr>
        <w:pStyle w:val="12"/>
        <w:widowControl/>
        <w:spacing w:before="75" w:beforeAutospacing="0" w:after="75" w:afterAutospacing="0" w:line="375" w:lineRule="atLeast"/>
        <w:rPr>
          <w:rFonts w:ascii="宋体" w:hAnsi="宋体" w:cs="宋体"/>
          <w:color w:val="auto"/>
          <w:sz w:val="21"/>
          <w:szCs w:val="21"/>
          <w:highlight w:val="none"/>
        </w:rPr>
      </w:pPr>
      <w:r>
        <w:rPr>
          <w:rFonts w:hint="eastAsia" w:ascii="宋体" w:hAnsi="宋体" w:cs="宋体"/>
          <w:color w:val="auto"/>
          <w:sz w:val="21"/>
          <w:szCs w:val="21"/>
          <w:highlight w:val="none"/>
        </w:rPr>
        <w:t>供应商名称：</w:t>
      </w:r>
      <w:r>
        <w:rPr>
          <w:rFonts w:hint="eastAsia" w:ascii="宋体" w:hAnsi="宋体" w:cs="宋体"/>
          <w:color w:val="auto"/>
          <w:sz w:val="21"/>
          <w:szCs w:val="21"/>
          <w:highlight w:val="none"/>
          <w:u w:val="single"/>
        </w:rPr>
        <w:t>（全称加盖单位公章）</w:t>
      </w:r>
      <w:r>
        <w:rPr>
          <w:rFonts w:hint="eastAsia" w:ascii="宋体" w:hAnsi="宋体" w:cs="宋体"/>
          <w:color w:val="auto"/>
          <w:sz w:val="21"/>
          <w:szCs w:val="21"/>
          <w:highlight w:val="none"/>
        </w:rPr>
        <w:t>项目编号∶</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 货币单位：元 人民币</w:t>
      </w:r>
    </w:p>
    <w:p>
      <w:pPr>
        <w:pStyle w:val="12"/>
        <w:widowControl/>
        <w:spacing w:before="75" w:beforeAutospacing="0" w:after="75" w:afterAutospacing="0" w:line="375" w:lineRule="atLeast"/>
        <w:rPr>
          <w:rFonts w:ascii="宋体" w:hAnsi="宋体" w:cs="宋体"/>
          <w:color w:val="auto"/>
          <w:sz w:val="21"/>
          <w:szCs w:val="21"/>
          <w:highlight w:val="none"/>
        </w:rPr>
      </w:pPr>
    </w:p>
    <w:tbl>
      <w:tblPr>
        <w:tblStyle w:val="15"/>
        <w:tblW w:w="0" w:type="auto"/>
        <w:tblCellSpacing w:w="15" w:type="dxa"/>
        <w:tblInd w:w="-1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1065"/>
        <w:gridCol w:w="3696"/>
        <w:gridCol w:w="1796"/>
        <w:gridCol w:w="1021"/>
        <w:gridCol w:w="11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915" w:hRule="atLeast"/>
          <w:tblCellSpacing w:w="15" w:type="dxa"/>
        </w:trPr>
        <w:tc>
          <w:tcPr>
            <w:tcW w:w="1020" w:type="dxa"/>
            <w:tcMar>
              <w:top w:w="0" w:type="dxa"/>
              <w:left w:w="105" w:type="dxa"/>
              <w:bottom w:w="0" w:type="dxa"/>
              <w:right w:w="105" w:type="dxa"/>
            </w:tcMar>
            <w:vAlign w:val="center"/>
          </w:tcPr>
          <w:p>
            <w:pPr>
              <w:pStyle w:val="12"/>
              <w:keepNext w:val="0"/>
              <w:keepLines w:val="0"/>
              <w:widowControl/>
              <w:suppressLineNumbers w:val="0"/>
              <w:spacing w:before="0" w:beforeAutospacing="0" w:after="0" w:afterAutospacing="0" w:line="465" w:lineRule="atLeast"/>
              <w:ind w:left="0" w:right="0"/>
              <w:rPr>
                <w:rFonts w:hint="default" w:ascii="宋体" w:hAnsi="宋体" w:cs="宋体"/>
                <w:color w:val="auto"/>
                <w:sz w:val="21"/>
                <w:szCs w:val="21"/>
                <w:highlight w:val="none"/>
              </w:rPr>
            </w:pPr>
            <w:r>
              <w:rPr>
                <w:rFonts w:hint="eastAsia" w:ascii="宋体" w:hAnsi="宋体" w:cs="宋体"/>
                <w:color w:val="auto"/>
                <w:sz w:val="21"/>
                <w:szCs w:val="21"/>
                <w:highlight w:val="none"/>
              </w:rPr>
              <w:t>采购包</w:t>
            </w:r>
          </w:p>
        </w:tc>
        <w:tc>
          <w:tcPr>
            <w:tcW w:w="3666" w:type="dxa"/>
            <w:tcMar>
              <w:top w:w="0" w:type="dxa"/>
              <w:left w:w="105" w:type="dxa"/>
              <w:bottom w:w="0" w:type="dxa"/>
              <w:right w:w="105" w:type="dxa"/>
            </w:tcMar>
            <w:vAlign w:val="center"/>
          </w:tcPr>
          <w:p>
            <w:pPr>
              <w:pStyle w:val="12"/>
              <w:keepNext w:val="0"/>
              <w:keepLines w:val="0"/>
              <w:widowControl/>
              <w:suppressLineNumbers w:val="0"/>
              <w:spacing w:before="0" w:beforeAutospacing="0" w:after="0" w:afterAutospacing="0" w:line="465" w:lineRule="atLeast"/>
              <w:ind w:left="0" w:right="0"/>
              <w:rPr>
                <w:rFonts w:hint="default" w:ascii="宋体" w:hAnsi="宋体" w:cs="宋体"/>
                <w:color w:val="auto"/>
                <w:sz w:val="21"/>
                <w:szCs w:val="21"/>
                <w:highlight w:val="none"/>
              </w:rPr>
            </w:pPr>
            <w:r>
              <w:rPr>
                <w:rFonts w:hint="eastAsia" w:ascii="宋体" w:hAnsi="宋体" w:cs="宋体"/>
                <w:color w:val="auto"/>
                <w:sz w:val="21"/>
                <w:szCs w:val="21"/>
                <w:highlight w:val="none"/>
              </w:rPr>
              <w:t>首次报价</w:t>
            </w:r>
          </w:p>
        </w:tc>
        <w:tc>
          <w:tcPr>
            <w:tcW w:w="1766" w:type="dxa"/>
            <w:tcMar>
              <w:top w:w="0" w:type="dxa"/>
              <w:left w:w="105" w:type="dxa"/>
              <w:bottom w:w="0" w:type="dxa"/>
              <w:right w:w="105" w:type="dxa"/>
            </w:tcMar>
            <w:vAlign w:val="center"/>
          </w:tcPr>
          <w:p>
            <w:pPr>
              <w:pStyle w:val="12"/>
              <w:keepNext w:val="0"/>
              <w:keepLines w:val="0"/>
              <w:widowControl/>
              <w:suppressLineNumbers w:val="0"/>
              <w:spacing w:before="0" w:beforeAutospacing="0" w:after="0" w:afterAutospacing="0" w:line="465" w:lineRule="atLeast"/>
              <w:ind w:left="0" w:right="0"/>
              <w:rPr>
                <w:rFonts w:hint="default" w:ascii="宋体" w:hAnsi="宋体" w:cs="宋体"/>
                <w:color w:val="auto"/>
                <w:sz w:val="21"/>
                <w:szCs w:val="21"/>
                <w:highlight w:val="none"/>
              </w:rPr>
            </w:pPr>
            <w:r>
              <w:rPr>
                <w:rFonts w:hint="eastAsia" w:ascii="宋体" w:hAnsi="宋体" w:cs="宋体"/>
                <w:color w:val="auto"/>
                <w:sz w:val="21"/>
                <w:szCs w:val="21"/>
                <w:highlight w:val="none"/>
              </w:rPr>
              <w:t>交货期/工期/项目完成时间/服务时间</w:t>
            </w:r>
          </w:p>
        </w:tc>
        <w:tc>
          <w:tcPr>
            <w:tcW w:w="991" w:type="dxa"/>
            <w:tcMar>
              <w:top w:w="0" w:type="dxa"/>
              <w:left w:w="105" w:type="dxa"/>
              <w:bottom w:w="0" w:type="dxa"/>
              <w:right w:w="105" w:type="dxa"/>
            </w:tcMar>
            <w:vAlign w:val="center"/>
          </w:tcPr>
          <w:p>
            <w:pPr>
              <w:pStyle w:val="12"/>
              <w:keepNext w:val="0"/>
              <w:keepLines w:val="0"/>
              <w:widowControl/>
              <w:suppressLineNumbers w:val="0"/>
              <w:spacing w:before="0" w:beforeAutospacing="0" w:after="0" w:afterAutospacing="0" w:line="465" w:lineRule="atLeast"/>
              <w:ind w:left="0" w:right="0"/>
              <w:rPr>
                <w:rFonts w:hint="default" w:ascii="宋体" w:hAnsi="宋体" w:cs="宋体"/>
                <w:color w:val="auto"/>
                <w:sz w:val="21"/>
                <w:szCs w:val="21"/>
                <w:highlight w:val="none"/>
              </w:rPr>
            </w:pPr>
            <w:r>
              <w:rPr>
                <w:rFonts w:hint="eastAsia" w:ascii="宋体" w:hAnsi="宋体" w:cs="宋体"/>
                <w:color w:val="auto"/>
                <w:sz w:val="21"/>
                <w:szCs w:val="21"/>
                <w:highlight w:val="none"/>
              </w:rPr>
              <w:t>磋商保证金</w:t>
            </w:r>
          </w:p>
        </w:tc>
        <w:tc>
          <w:tcPr>
            <w:tcW w:w="1152" w:type="dxa"/>
            <w:tcMar>
              <w:top w:w="0" w:type="dxa"/>
              <w:left w:w="105" w:type="dxa"/>
              <w:bottom w:w="0" w:type="dxa"/>
              <w:right w:w="105" w:type="dxa"/>
            </w:tcMar>
            <w:vAlign w:val="center"/>
          </w:tcPr>
          <w:p>
            <w:pPr>
              <w:pStyle w:val="12"/>
              <w:keepNext w:val="0"/>
              <w:keepLines w:val="0"/>
              <w:widowControl/>
              <w:suppressLineNumbers w:val="0"/>
              <w:spacing w:before="0" w:beforeAutospacing="0" w:after="0" w:afterAutospacing="0" w:line="465" w:lineRule="atLeast"/>
              <w:ind w:left="0" w:right="0"/>
              <w:rPr>
                <w:rFonts w:hint="default" w:ascii="宋体" w:hAnsi="宋体" w:cs="宋体"/>
                <w:color w:val="auto"/>
                <w:sz w:val="21"/>
                <w:szCs w:val="21"/>
                <w:highlight w:val="none"/>
              </w:rPr>
            </w:pPr>
            <w:r>
              <w:rPr>
                <w:rFonts w:hint="eastAsia" w:ascii="宋体" w:hAnsi="宋体" w:cs="宋体"/>
                <w:color w:val="auto"/>
                <w:sz w:val="21"/>
                <w:szCs w:val="21"/>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915" w:hRule="atLeast"/>
          <w:tblCellSpacing w:w="15" w:type="dxa"/>
        </w:trPr>
        <w:tc>
          <w:tcPr>
            <w:tcW w:w="1020" w:type="dxa"/>
            <w:tcMar>
              <w:top w:w="0" w:type="dxa"/>
              <w:left w:w="105" w:type="dxa"/>
              <w:bottom w:w="0" w:type="dxa"/>
              <w:right w:w="105" w:type="dxa"/>
            </w:tcMar>
            <w:vAlign w:val="center"/>
          </w:tcPr>
          <w:p>
            <w:pPr>
              <w:pStyle w:val="12"/>
              <w:keepNext w:val="0"/>
              <w:keepLines w:val="0"/>
              <w:widowControl/>
              <w:suppressLineNumbers w:val="0"/>
              <w:spacing w:before="0" w:beforeAutospacing="0" w:after="0" w:afterAutospacing="0" w:line="465" w:lineRule="atLeast"/>
              <w:ind w:left="0" w:right="0"/>
              <w:rPr>
                <w:rFonts w:hint="default" w:ascii="宋体" w:hAnsi="宋体" w:cs="宋体"/>
                <w:color w:val="auto"/>
                <w:sz w:val="21"/>
                <w:szCs w:val="21"/>
                <w:highlight w:val="none"/>
              </w:rPr>
            </w:pPr>
            <w:r>
              <w:rPr>
                <w:rFonts w:hint="eastAsia" w:ascii="宋体" w:hAnsi="宋体" w:cs="宋体"/>
                <w:color w:val="auto"/>
                <w:sz w:val="21"/>
                <w:szCs w:val="21"/>
                <w:highlight w:val="none"/>
              </w:rPr>
              <w:t>*</w:t>
            </w:r>
          </w:p>
        </w:tc>
        <w:tc>
          <w:tcPr>
            <w:tcW w:w="3666" w:type="dxa"/>
            <w:tcMar>
              <w:top w:w="0" w:type="dxa"/>
              <w:left w:w="105" w:type="dxa"/>
              <w:bottom w:w="0" w:type="dxa"/>
              <w:right w:w="105" w:type="dxa"/>
            </w:tcMar>
            <w:vAlign w:val="center"/>
          </w:tcPr>
          <w:p>
            <w:pPr>
              <w:keepNext w:val="0"/>
              <w:keepLines w:val="0"/>
              <w:widowControl/>
              <w:suppressLineNumbers w:val="0"/>
              <w:spacing w:before="0" w:beforeAutospacing="0" w:after="0" w:afterAutospacing="0"/>
              <w:ind w:left="0" w:right="0"/>
              <w:jc w:val="left"/>
              <w:rPr>
                <w:rFonts w:hint="default" w:ascii="宋体" w:hAnsi="宋体" w:cs="宋体"/>
                <w:color w:val="auto"/>
                <w:szCs w:val="21"/>
                <w:highlight w:val="none"/>
              </w:rPr>
            </w:pPr>
            <w:r>
              <w:rPr>
                <w:rFonts w:hint="eastAsia" w:ascii="宋体" w:hAnsi="宋体" w:cs="宋体"/>
                <w:color w:val="auto"/>
                <w:szCs w:val="21"/>
                <w:highlight w:val="none"/>
              </w:rPr>
              <w:t xml:space="preserve">报价： </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 xml:space="preserve"> 元，</w:t>
            </w:r>
          </w:p>
          <w:p>
            <w:pPr>
              <w:keepNext w:val="0"/>
              <w:keepLines w:val="0"/>
              <w:widowControl/>
              <w:suppressLineNumbers w:val="0"/>
              <w:spacing w:before="0" w:beforeAutospacing="0" w:after="0" w:afterAutospacing="0"/>
              <w:ind w:left="0" w:right="0"/>
              <w:jc w:val="left"/>
              <w:rPr>
                <w:rFonts w:hint="default" w:ascii="宋体" w:hAnsi="宋体" w:cs="宋体"/>
                <w:color w:val="auto"/>
                <w:szCs w:val="21"/>
                <w:highlight w:val="none"/>
              </w:rPr>
            </w:pPr>
            <w:r>
              <w:rPr>
                <w:rFonts w:hint="eastAsia" w:ascii="宋体" w:hAnsi="宋体" w:cs="宋体"/>
                <w:color w:val="auto"/>
                <w:szCs w:val="21"/>
                <w:highlight w:val="none"/>
              </w:rPr>
              <w:t xml:space="preserve">大写金额： </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 xml:space="preserve">   。</w:t>
            </w:r>
          </w:p>
        </w:tc>
        <w:tc>
          <w:tcPr>
            <w:tcW w:w="1766" w:type="dxa"/>
            <w:tcMar>
              <w:top w:w="0" w:type="dxa"/>
              <w:left w:w="105" w:type="dxa"/>
              <w:bottom w:w="0" w:type="dxa"/>
              <w:right w:w="105" w:type="dxa"/>
            </w:tcMar>
            <w:vAlign w:val="center"/>
          </w:tcPr>
          <w:p>
            <w:pPr>
              <w:keepNext w:val="0"/>
              <w:keepLines w:val="0"/>
              <w:widowControl/>
              <w:suppressLineNumbers w:val="0"/>
              <w:spacing w:before="0" w:beforeAutospacing="0" w:after="0" w:afterAutospacing="0"/>
              <w:ind w:left="0" w:right="0"/>
              <w:jc w:val="left"/>
              <w:rPr>
                <w:rFonts w:hint="default" w:ascii="宋体" w:hAnsi="宋体" w:cs="宋体"/>
                <w:color w:val="auto"/>
                <w:szCs w:val="21"/>
                <w:highlight w:val="none"/>
              </w:rPr>
            </w:pPr>
          </w:p>
        </w:tc>
        <w:tc>
          <w:tcPr>
            <w:tcW w:w="991" w:type="dxa"/>
            <w:tcMar>
              <w:top w:w="0" w:type="dxa"/>
              <w:left w:w="105" w:type="dxa"/>
              <w:bottom w:w="0" w:type="dxa"/>
              <w:right w:w="105" w:type="dxa"/>
            </w:tcMar>
            <w:vAlign w:val="center"/>
          </w:tcPr>
          <w:p>
            <w:pPr>
              <w:keepNext w:val="0"/>
              <w:keepLines w:val="0"/>
              <w:widowControl/>
              <w:suppressLineNumbers w:val="0"/>
              <w:spacing w:before="0" w:beforeAutospacing="0" w:after="0" w:afterAutospacing="0"/>
              <w:ind w:left="0" w:right="0"/>
              <w:jc w:val="left"/>
              <w:rPr>
                <w:rFonts w:hint="default" w:ascii="宋体" w:hAnsi="宋体" w:cs="宋体"/>
                <w:color w:val="auto"/>
                <w:szCs w:val="21"/>
                <w:highlight w:val="none"/>
              </w:rPr>
            </w:pPr>
          </w:p>
        </w:tc>
        <w:tc>
          <w:tcPr>
            <w:tcW w:w="1152" w:type="dxa"/>
            <w:tcMar>
              <w:top w:w="0" w:type="dxa"/>
              <w:left w:w="105" w:type="dxa"/>
              <w:bottom w:w="0" w:type="dxa"/>
              <w:right w:w="105" w:type="dxa"/>
            </w:tcMar>
            <w:vAlign w:val="center"/>
          </w:tcPr>
          <w:p>
            <w:pPr>
              <w:keepNext w:val="0"/>
              <w:keepLines w:val="0"/>
              <w:widowControl/>
              <w:suppressLineNumbers w:val="0"/>
              <w:spacing w:before="0" w:beforeAutospacing="0" w:after="0" w:afterAutospacing="0"/>
              <w:ind w:left="0" w:right="0"/>
              <w:jc w:val="left"/>
              <w:rPr>
                <w:rFonts w:hint="default" w:ascii="宋体" w:hAnsi="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915" w:hRule="atLeast"/>
          <w:tblCellSpacing w:w="15" w:type="dxa"/>
        </w:trPr>
        <w:tc>
          <w:tcPr>
            <w:tcW w:w="1020" w:type="dxa"/>
            <w:tcMar>
              <w:top w:w="0" w:type="dxa"/>
              <w:left w:w="105" w:type="dxa"/>
              <w:bottom w:w="0" w:type="dxa"/>
              <w:right w:w="105" w:type="dxa"/>
            </w:tcMar>
            <w:vAlign w:val="center"/>
          </w:tcPr>
          <w:p>
            <w:pPr>
              <w:pStyle w:val="12"/>
              <w:keepNext w:val="0"/>
              <w:keepLines w:val="0"/>
              <w:widowControl/>
              <w:suppressLineNumbers w:val="0"/>
              <w:spacing w:before="0" w:beforeAutospacing="0" w:after="0" w:afterAutospacing="0" w:line="465" w:lineRule="atLeast"/>
              <w:ind w:left="0" w:right="0"/>
              <w:rPr>
                <w:rFonts w:hint="default" w:ascii="宋体" w:hAnsi="宋体" w:cs="宋体"/>
                <w:color w:val="auto"/>
                <w:sz w:val="21"/>
                <w:szCs w:val="21"/>
                <w:highlight w:val="none"/>
              </w:rPr>
            </w:pPr>
            <w:r>
              <w:rPr>
                <w:rFonts w:hint="eastAsia" w:ascii="宋体" w:hAnsi="宋体" w:cs="宋体"/>
                <w:color w:val="auto"/>
                <w:sz w:val="21"/>
                <w:szCs w:val="21"/>
                <w:highlight w:val="none"/>
              </w:rPr>
              <w:t>…</w:t>
            </w:r>
          </w:p>
        </w:tc>
        <w:tc>
          <w:tcPr>
            <w:tcW w:w="3666" w:type="dxa"/>
            <w:tcMar>
              <w:top w:w="0" w:type="dxa"/>
              <w:left w:w="105" w:type="dxa"/>
              <w:bottom w:w="0" w:type="dxa"/>
              <w:right w:w="105" w:type="dxa"/>
            </w:tcMar>
            <w:vAlign w:val="center"/>
          </w:tcPr>
          <w:p>
            <w:pPr>
              <w:keepNext w:val="0"/>
              <w:keepLines w:val="0"/>
              <w:widowControl/>
              <w:suppressLineNumbers w:val="0"/>
              <w:spacing w:before="0" w:beforeAutospacing="0" w:after="0" w:afterAutospacing="0"/>
              <w:ind w:left="0" w:right="0"/>
              <w:jc w:val="left"/>
              <w:rPr>
                <w:rFonts w:hint="default" w:ascii="宋体" w:hAnsi="宋体" w:cs="宋体"/>
                <w:color w:val="auto"/>
                <w:szCs w:val="21"/>
                <w:highlight w:val="none"/>
              </w:rPr>
            </w:pPr>
          </w:p>
        </w:tc>
        <w:tc>
          <w:tcPr>
            <w:tcW w:w="1766" w:type="dxa"/>
            <w:tcMar>
              <w:top w:w="0" w:type="dxa"/>
              <w:left w:w="105" w:type="dxa"/>
              <w:bottom w:w="0" w:type="dxa"/>
              <w:right w:w="105" w:type="dxa"/>
            </w:tcMar>
            <w:vAlign w:val="center"/>
          </w:tcPr>
          <w:p>
            <w:pPr>
              <w:keepNext w:val="0"/>
              <w:keepLines w:val="0"/>
              <w:widowControl/>
              <w:suppressLineNumbers w:val="0"/>
              <w:spacing w:before="0" w:beforeAutospacing="0" w:after="0" w:afterAutospacing="0"/>
              <w:ind w:left="0" w:right="0"/>
              <w:jc w:val="left"/>
              <w:rPr>
                <w:rFonts w:hint="default" w:ascii="宋体" w:hAnsi="宋体" w:cs="宋体"/>
                <w:color w:val="auto"/>
                <w:szCs w:val="21"/>
                <w:highlight w:val="none"/>
              </w:rPr>
            </w:pPr>
          </w:p>
        </w:tc>
        <w:tc>
          <w:tcPr>
            <w:tcW w:w="991" w:type="dxa"/>
            <w:tcMar>
              <w:top w:w="0" w:type="dxa"/>
              <w:left w:w="105" w:type="dxa"/>
              <w:bottom w:w="0" w:type="dxa"/>
              <w:right w:w="105" w:type="dxa"/>
            </w:tcMar>
            <w:vAlign w:val="center"/>
          </w:tcPr>
          <w:p>
            <w:pPr>
              <w:keepNext w:val="0"/>
              <w:keepLines w:val="0"/>
              <w:widowControl/>
              <w:suppressLineNumbers w:val="0"/>
              <w:spacing w:before="0" w:beforeAutospacing="0" w:after="0" w:afterAutospacing="0"/>
              <w:ind w:left="0" w:right="0"/>
              <w:jc w:val="left"/>
              <w:rPr>
                <w:rFonts w:hint="default" w:ascii="宋体" w:hAnsi="宋体" w:cs="宋体"/>
                <w:color w:val="auto"/>
                <w:szCs w:val="21"/>
                <w:highlight w:val="none"/>
              </w:rPr>
            </w:pPr>
          </w:p>
        </w:tc>
        <w:tc>
          <w:tcPr>
            <w:tcW w:w="1152" w:type="dxa"/>
            <w:tcMar>
              <w:top w:w="0" w:type="dxa"/>
              <w:left w:w="105" w:type="dxa"/>
              <w:bottom w:w="0" w:type="dxa"/>
              <w:right w:w="105" w:type="dxa"/>
            </w:tcMar>
            <w:vAlign w:val="center"/>
          </w:tcPr>
          <w:p>
            <w:pPr>
              <w:keepNext w:val="0"/>
              <w:keepLines w:val="0"/>
              <w:widowControl/>
              <w:suppressLineNumbers w:val="0"/>
              <w:spacing w:before="0" w:beforeAutospacing="0" w:after="0" w:afterAutospacing="0"/>
              <w:ind w:left="0" w:right="0"/>
              <w:jc w:val="left"/>
              <w:rPr>
                <w:rFonts w:hint="default" w:ascii="宋体" w:hAnsi="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915" w:hRule="atLeast"/>
          <w:tblCellSpacing w:w="15" w:type="dxa"/>
        </w:trPr>
        <w:tc>
          <w:tcPr>
            <w:tcW w:w="1020" w:type="dxa"/>
            <w:tcMar>
              <w:top w:w="0" w:type="dxa"/>
              <w:left w:w="105" w:type="dxa"/>
              <w:bottom w:w="0" w:type="dxa"/>
              <w:right w:w="105" w:type="dxa"/>
            </w:tcMar>
            <w:vAlign w:val="center"/>
          </w:tcPr>
          <w:p>
            <w:pPr>
              <w:pStyle w:val="12"/>
              <w:keepNext w:val="0"/>
              <w:keepLines w:val="0"/>
              <w:widowControl/>
              <w:suppressLineNumbers w:val="0"/>
              <w:spacing w:before="0" w:beforeAutospacing="0" w:after="0" w:afterAutospacing="0" w:line="465" w:lineRule="atLeast"/>
              <w:ind w:left="0" w:right="0"/>
              <w:rPr>
                <w:rFonts w:hint="default" w:ascii="宋体" w:hAnsi="宋体" w:cs="宋体"/>
                <w:color w:val="auto"/>
                <w:sz w:val="21"/>
                <w:szCs w:val="21"/>
                <w:highlight w:val="none"/>
              </w:rPr>
            </w:pPr>
            <w:r>
              <w:rPr>
                <w:rFonts w:hint="eastAsia" w:ascii="宋体" w:hAnsi="宋体" w:cs="宋体"/>
                <w:color w:val="auto"/>
                <w:sz w:val="21"/>
                <w:szCs w:val="21"/>
                <w:highlight w:val="none"/>
              </w:rPr>
              <w:t>…</w:t>
            </w:r>
          </w:p>
        </w:tc>
        <w:tc>
          <w:tcPr>
            <w:tcW w:w="3666" w:type="dxa"/>
            <w:tcMar>
              <w:top w:w="0" w:type="dxa"/>
              <w:left w:w="105" w:type="dxa"/>
              <w:bottom w:w="0" w:type="dxa"/>
              <w:right w:w="105" w:type="dxa"/>
            </w:tcMar>
            <w:vAlign w:val="center"/>
          </w:tcPr>
          <w:p>
            <w:pPr>
              <w:keepNext w:val="0"/>
              <w:keepLines w:val="0"/>
              <w:widowControl/>
              <w:suppressLineNumbers w:val="0"/>
              <w:spacing w:before="0" w:beforeAutospacing="0" w:after="0" w:afterAutospacing="0"/>
              <w:ind w:left="0" w:right="0"/>
              <w:jc w:val="left"/>
              <w:rPr>
                <w:rFonts w:hint="default" w:ascii="宋体" w:hAnsi="宋体" w:cs="宋体"/>
                <w:color w:val="auto"/>
                <w:szCs w:val="21"/>
                <w:highlight w:val="none"/>
              </w:rPr>
            </w:pPr>
          </w:p>
        </w:tc>
        <w:tc>
          <w:tcPr>
            <w:tcW w:w="1766" w:type="dxa"/>
            <w:tcMar>
              <w:top w:w="0" w:type="dxa"/>
              <w:left w:w="105" w:type="dxa"/>
              <w:bottom w:w="0" w:type="dxa"/>
              <w:right w:w="105" w:type="dxa"/>
            </w:tcMar>
            <w:vAlign w:val="center"/>
          </w:tcPr>
          <w:p>
            <w:pPr>
              <w:keepNext w:val="0"/>
              <w:keepLines w:val="0"/>
              <w:widowControl/>
              <w:suppressLineNumbers w:val="0"/>
              <w:spacing w:before="0" w:beforeAutospacing="0" w:after="0" w:afterAutospacing="0"/>
              <w:ind w:left="0" w:right="0"/>
              <w:jc w:val="left"/>
              <w:rPr>
                <w:rFonts w:hint="default" w:ascii="宋体" w:hAnsi="宋体" w:cs="宋体"/>
                <w:color w:val="auto"/>
                <w:szCs w:val="21"/>
                <w:highlight w:val="none"/>
              </w:rPr>
            </w:pPr>
          </w:p>
        </w:tc>
        <w:tc>
          <w:tcPr>
            <w:tcW w:w="991" w:type="dxa"/>
            <w:tcMar>
              <w:top w:w="0" w:type="dxa"/>
              <w:left w:w="105" w:type="dxa"/>
              <w:bottom w:w="0" w:type="dxa"/>
              <w:right w:w="105" w:type="dxa"/>
            </w:tcMar>
            <w:vAlign w:val="center"/>
          </w:tcPr>
          <w:p>
            <w:pPr>
              <w:keepNext w:val="0"/>
              <w:keepLines w:val="0"/>
              <w:widowControl/>
              <w:suppressLineNumbers w:val="0"/>
              <w:spacing w:before="0" w:beforeAutospacing="0" w:after="0" w:afterAutospacing="0"/>
              <w:ind w:left="0" w:right="0"/>
              <w:jc w:val="left"/>
              <w:rPr>
                <w:rFonts w:hint="default" w:ascii="宋体" w:hAnsi="宋体" w:cs="宋体"/>
                <w:color w:val="auto"/>
                <w:szCs w:val="21"/>
                <w:highlight w:val="none"/>
              </w:rPr>
            </w:pPr>
          </w:p>
        </w:tc>
        <w:tc>
          <w:tcPr>
            <w:tcW w:w="1152" w:type="dxa"/>
            <w:tcMar>
              <w:top w:w="0" w:type="dxa"/>
              <w:left w:w="105" w:type="dxa"/>
              <w:bottom w:w="0" w:type="dxa"/>
              <w:right w:w="105" w:type="dxa"/>
            </w:tcMar>
            <w:vAlign w:val="center"/>
          </w:tcPr>
          <w:p>
            <w:pPr>
              <w:keepNext w:val="0"/>
              <w:keepLines w:val="0"/>
              <w:widowControl/>
              <w:suppressLineNumbers w:val="0"/>
              <w:spacing w:before="0" w:beforeAutospacing="0" w:after="0" w:afterAutospacing="0"/>
              <w:ind w:left="0" w:right="0"/>
              <w:jc w:val="left"/>
              <w:rPr>
                <w:rFonts w:hint="default" w:ascii="宋体" w:hAnsi="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915" w:hRule="atLeast"/>
          <w:tblCellSpacing w:w="15" w:type="dxa"/>
        </w:trPr>
        <w:tc>
          <w:tcPr>
            <w:tcW w:w="1020" w:type="dxa"/>
            <w:tcMar>
              <w:top w:w="0" w:type="dxa"/>
              <w:left w:w="105" w:type="dxa"/>
              <w:bottom w:w="0" w:type="dxa"/>
              <w:right w:w="105" w:type="dxa"/>
            </w:tcMar>
            <w:vAlign w:val="center"/>
          </w:tcPr>
          <w:p>
            <w:pPr>
              <w:pStyle w:val="12"/>
              <w:keepNext w:val="0"/>
              <w:keepLines w:val="0"/>
              <w:widowControl/>
              <w:suppressLineNumbers w:val="0"/>
              <w:spacing w:before="0" w:beforeAutospacing="0" w:after="0" w:afterAutospacing="0" w:line="465" w:lineRule="atLeast"/>
              <w:ind w:left="0" w:right="0"/>
              <w:rPr>
                <w:rFonts w:hint="default" w:ascii="宋体" w:hAnsi="宋体" w:cs="宋体"/>
                <w:color w:val="auto"/>
                <w:sz w:val="21"/>
                <w:szCs w:val="21"/>
                <w:highlight w:val="none"/>
              </w:rPr>
            </w:pPr>
            <w:r>
              <w:rPr>
                <w:rFonts w:hint="eastAsia" w:ascii="宋体" w:hAnsi="宋体" w:cs="宋体"/>
                <w:color w:val="auto"/>
                <w:sz w:val="21"/>
                <w:szCs w:val="21"/>
                <w:highlight w:val="none"/>
              </w:rPr>
              <w:t>…</w:t>
            </w:r>
          </w:p>
        </w:tc>
        <w:tc>
          <w:tcPr>
            <w:tcW w:w="3666" w:type="dxa"/>
            <w:tcMar>
              <w:top w:w="0" w:type="dxa"/>
              <w:left w:w="105" w:type="dxa"/>
              <w:bottom w:w="0" w:type="dxa"/>
              <w:right w:w="105" w:type="dxa"/>
            </w:tcMar>
            <w:vAlign w:val="center"/>
          </w:tcPr>
          <w:p>
            <w:pPr>
              <w:keepNext w:val="0"/>
              <w:keepLines w:val="0"/>
              <w:widowControl/>
              <w:suppressLineNumbers w:val="0"/>
              <w:spacing w:before="0" w:beforeAutospacing="0" w:after="0" w:afterAutospacing="0"/>
              <w:ind w:left="0" w:right="0"/>
              <w:jc w:val="left"/>
              <w:rPr>
                <w:rFonts w:hint="default" w:ascii="宋体" w:hAnsi="宋体" w:cs="宋体"/>
                <w:color w:val="auto"/>
                <w:szCs w:val="21"/>
                <w:highlight w:val="none"/>
              </w:rPr>
            </w:pPr>
          </w:p>
        </w:tc>
        <w:tc>
          <w:tcPr>
            <w:tcW w:w="1766" w:type="dxa"/>
            <w:tcMar>
              <w:top w:w="0" w:type="dxa"/>
              <w:left w:w="105" w:type="dxa"/>
              <w:bottom w:w="0" w:type="dxa"/>
              <w:right w:w="105" w:type="dxa"/>
            </w:tcMar>
            <w:vAlign w:val="center"/>
          </w:tcPr>
          <w:p>
            <w:pPr>
              <w:keepNext w:val="0"/>
              <w:keepLines w:val="0"/>
              <w:widowControl/>
              <w:suppressLineNumbers w:val="0"/>
              <w:spacing w:before="0" w:beforeAutospacing="0" w:after="0" w:afterAutospacing="0"/>
              <w:ind w:left="0" w:right="0"/>
              <w:jc w:val="left"/>
              <w:rPr>
                <w:rFonts w:hint="default" w:ascii="宋体" w:hAnsi="宋体" w:cs="宋体"/>
                <w:color w:val="auto"/>
                <w:szCs w:val="21"/>
                <w:highlight w:val="none"/>
              </w:rPr>
            </w:pPr>
          </w:p>
        </w:tc>
        <w:tc>
          <w:tcPr>
            <w:tcW w:w="991" w:type="dxa"/>
            <w:tcMar>
              <w:top w:w="0" w:type="dxa"/>
              <w:left w:w="105" w:type="dxa"/>
              <w:bottom w:w="0" w:type="dxa"/>
              <w:right w:w="105" w:type="dxa"/>
            </w:tcMar>
            <w:vAlign w:val="center"/>
          </w:tcPr>
          <w:p>
            <w:pPr>
              <w:keepNext w:val="0"/>
              <w:keepLines w:val="0"/>
              <w:widowControl/>
              <w:suppressLineNumbers w:val="0"/>
              <w:spacing w:before="0" w:beforeAutospacing="0" w:after="0" w:afterAutospacing="0"/>
              <w:ind w:left="0" w:right="0"/>
              <w:jc w:val="left"/>
              <w:rPr>
                <w:rFonts w:hint="default" w:ascii="宋体" w:hAnsi="宋体" w:cs="宋体"/>
                <w:color w:val="auto"/>
                <w:szCs w:val="21"/>
                <w:highlight w:val="none"/>
              </w:rPr>
            </w:pPr>
          </w:p>
        </w:tc>
        <w:tc>
          <w:tcPr>
            <w:tcW w:w="1152" w:type="dxa"/>
            <w:tcMar>
              <w:top w:w="0" w:type="dxa"/>
              <w:left w:w="105" w:type="dxa"/>
              <w:bottom w:w="0" w:type="dxa"/>
              <w:right w:w="105" w:type="dxa"/>
            </w:tcMar>
            <w:vAlign w:val="center"/>
          </w:tcPr>
          <w:p>
            <w:pPr>
              <w:keepNext w:val="0"/>
              <w:keepLines w:val="0"/>
              <w:widowControl/>
              <w:suppressLineNumbers w:val="0"/>
              <w:spacing w:before="0" w:beforeAutospacing="0" w:after="0" w:afterAutospacing="0"/>
              <w:ind w:left="0" w:right="0"/>
              <w:jc w:val="left"/>
              <w:rPr>
                <w:rFonts w:hint="default" w:ascii="宋体" w:hAnsi="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915" w:hRule="atLeast"/>
          <w:tblCellSpacing w:w="15" w:type="dxa"/>
        </w:trPr>
        <w:tc>
          <w:tcPr>
            <w:tcW w:w="1020" w:type="dxa"/>
            <w:tcMar>
              <w:top w:w="0" w:type="dxa"/>
              <w:left w:w="105" w:type="dxa"/>
              <w:bottom w:w="0" w:type="dxa"/>
              <w:right w:w="105" w:type="dxa"/>
            </w:tcMar>
            <w:vAlign w:val="center"/>
          </w:tcPr>
          <w:p>
            <w:pPr>
              <w:pStyle w:val="12"/>
              <w:keepNext w:val="0"/>
              <w:keepLines w:val="0"/>
              <w:widowControl/>
              <w:suppressLineNumbers w:val="0"/>
              <w:spacing w:before="0" w:beforeAutospacing="0" w:after="0" w:afterAutospacing="0" w:line="465" w:lineRule="atLeast"/>
              <w:ind w:left="0" w:right="0"/>
              <w:rPr>
                <w:rFonts w:hint="default" w:ascii="宋体" w:hAnsi="宋体" w:cs="宋体"/>
                <w:color w:val="auto"/>
                <w:sz w:val="21"/>
                <w:szCs w:val="21"/>
                <w:highlight w:val="none"/>
              </w:rPr>
            </w:pPr>
            <w:r>
              <w:rPr>
                <w:rFonts w:hint="eastAsia" w:ascii="宋体" w:hAnsi="宋体" w:cs="宋体"/>
                <w:color w:val="auto"/>
                <w:sz w:val="21"/>
                <w:szCs w:val="21"/>
                <w:highlight w:val="none"/>
              </w:rPr>
              <w:t>…</w:t>
            </w:r>
          </w:p>
        </w:tc>
        <w:tc>
          <w:tcPr>
            <w:tcW w:w="3666" w:type="dxa"/>
            <w:tcMar>
              <w:top w:w="0" w:type="dxa"/>
              <w:left w:w="105" w:type="dxa"/>
              <w:bottom w:w="0" w:type="dxa"/>
              <w:right w:w="105" w:type="dxa"/>
            </w:tcMar>
            <w:vAlign w:val="center"/>
          </w:tcPr>
          <w:p>
            <w:pPr>
              <w:keepNext w:val="0"/>
              <w:keepLines w:val="0"/>
              <w:widowControl/>
              <w:suppressLineNumbers w:val="0"/>
              <w:spacing w:before="0" w:beforeAutospacing="0" w:after="0" w:afterAutospacing="0"/>
              <w:ind w:left="0" w:right="0"/>
              <w:jc w:val="left"/>
              <w:rPr>
                <w:rFonts w:hint="default" w:ascii="宋体" w:hAnsi="宋体" w:cs="宋体"/>
                <w:color w:val="auto"/>
                <w:szCs w:val="21"/>
                <w:highlight w:val="none"/>
              </w:rPr>
            </w:pPr>
          </w:p>
        </w:tc>
        <w:tc>
          <w:tcPr>
            <w:tcW w:w="1766" w:type="dxa"/>
            <w:tcMar>
              <w:top w:w="0" w:type="dxa"/>
              <w:left w:w="105" w:type="dxa"/>
              <w:bottom w:w="0" w:type="dxa"/>
              <w:right w:w="105" w:type="dxa"/>
            </w:tcMar>
            <w:vAlign w:val="center"/>
          </w:tcPr>
          <w:p>
            <w:pPr>
              <w:keepNext w:val="0"/>
              <w:keepLines w:val="0"/>
              <w:widowControl/>
              <w:suppressLineNumbers w:val="0"/>
              <w:spacing w:before="0" w:beforeAutospacing="0" w:after="0" w:afterAutospacing="0"/>
              <w:ind w:left="0" w:right="0"/>
              <w:jc w:val="left"/>
              <w:rPr>
                <w:rFonts w:hint="default" w:ascii="宋体" w:hAnsi="宋体" w:cs="宋体"/>
                <w:color w:val="auto"/>
                <w:szCs w:val="21"/>
                <w:highlight w:val="none"/>
              </w:rPr>
            </w:pPr>
          </w:p>
        </w:tc>
        <w:tc>
          <w:tcPr>
            <w:tcW w:w="991" w:type="dxa"/>
            <w:tcMar>
              <w:top w:w="0" w:type="dxa"/>
              <w:left w:w="105" w:type="dxa"/>
              <w:bottom w:w="0" w:type="dxa"/>
              <w:right w:w="105" w:type="dxa"/>
            </w:tcMar>
            <w:vAlign w:val="center"/>
          </w:tcPr>
          <w:p>
            <w:pPr>
              <w:keepNext w:val="0"/>
              <w:keepLines w:val="0"/>
              <w:widowControl/>
              <w:suppressLineNumbers w:val="0"/>
              <w:spacing w:before="0" w:beforeAutospacing="0" w:after="0" w:afterAutospacing="0"/>
              <w:ind w:left="0" w:right="0"/>
              <w:jc w:val="left"/>
              <w:rPr>
                <w:rFonts w:hint="default" w:ascii="宋体" w:hAnsi="宋体" w:cs="宋体"/>
                <w:color w:val="auto"/>
                <w:szCs w:val="21"/>
                <w:highlight w:val="none"/>
              </w:rPr>
            </w:pPr>
          </w:p>
        </w:tc>
        <w:tc>
          <w:tcPr>
            <w:tcW w:w="1152" w:type="dxa"/>
            <w:tcMar>
              <w:top w:w="0" w:type="dxa"/>
              <w:left w:w="105" w:type="dxa"/>
              <w:bottom w:w="0" w:type="dxa"/>
              <w:right w:w="105" w:type="dxa"/>
            </w:tcMar>
            <w:vAlign w:val="center"/>
          </w:tcPr>
          <w:p>
            <w:pPr>
              <w:keepNext w:val="0"/>
              <w:keepLines w:val="0"/>
              <w:widowControl/>
              <w:suppressLineNumbers w:val="0"/>
              <w:spacing w:before="0" w:beforeAutospacing="0" w:after="0" w:afterAutospacing="0"/>
              <w:ind w:left="0" w:right="0"/>
              <w:jc w:val="left"/>
              <w:rPr>
                <w:rFonts w:hint="default" w:ascii="宋体" w:hAnsi="宋体" w:cs="宋体"/>
                <w:color w:val="auto"/>
                <w:szCs w:val="21"/>
                <w:highlight w:val="none"/>
              </w:rPr>
            </w:pPr>
          </w:p>
        </w:tc>
      </w:tr>
    </w:tbl>
    <w:p>
      <w:pPr>
        <w:pStyle w:val="12"/>
        <w:widowControl/>
        <w:spacing w:before="75" w:beforeAutospacing="0" w:after="75" w:afterAutospacing="0" w:line="375" w:lineRule="atLeast"/>
        <w:rPr>
          <w:rFonts w:ascii="宋体" w:hAnsi="宋体" w:cs="宋体"/>
          <w:color w:val="auto"/>
          <w:sz w:val="21"/>
          <w:szCs w:val="21"/>
          <w:highlight w:val="none"/>
        </w:rPr>
      </w:pPr>
      <w:r>
        <w:rPr>
          <w:rFonts w:hint="eastAsia" w:ascii="宋体" w:hAnsi="宋体" w:cs="宋体"/>
          <w:color w:val="auto"/>
          <w:sz w:val="21"/>
          <w:szCs w:val="21"/>
          <w:highlight w:val="none"/>
        </w:rPr>
        <w:t> </w:t>
      </w:r>
    </w:p>
    <w:p>
      <w:pPr>
        <w:pStyle w:val="12"/>
        <w:widowControl/>
        <w:spacing w:before="75" w:beforeAutospacing="0" w:after="75" w:afterAutospacing="0"/>
        <w:rPr>
          <w:rFonts w:ascii="宋体" w:hAnsi="宋体" w:cs="宋体"/>
          <w:color w:val="auto"/>
          <w:sz w:val="21"/>
          <w:szCs w:val="21"/>
          <w:highlight w:val="none"/>
        </w:rPr>
      </w:pPr>
      <w:r>
        <w:rPr>
          <w:rFonts w:hint="eastAsia" w:ascii="宋体" w:hAnsi="宋体" w:cs="宋体"/>
          <w:color w:val="auto"/>
          <w:sz w:val="21"/>
          <w:szCs w:val="21"/>
          <w:highlight w:val="none"/>
        </w:rPr>
        <w:t>备注：详细报价书另纸详列，格式自拟。</w:t>
      </w:r>
    </w:p>
    <w:p>
      <w:pPr>
        <w:pStyle w:val="12"/>
        <w:widowControl/>
        <w:spacing w:before="75" w:beforeAutospacing="0" w:after="75" w:afterAutospacing="0" w:line="375" w:lineRule="atLeast"/>
        <w:rPr>
          <w:rFonts w:ascii="宋体" w:hAnsi="宋体" w:cs="宋体"/>
          <w:color w:val="auto"/>
          <w:sz w:val="21"/>
          <w:szCs w:val="21"/>
          <w:highlight w:val="none"/>
        </w:rPr>
      </w:pPr>
      <w:r>
        <w:rPr>
          <w:rFonts w:hint="eastAsia" w:ascii="宋体" w:hAnsi="宋体" w:cs="宋体"/>
          <w:color w:val="auto"/>
          <w:sz w:val="21"/>
          <w:szCs w:val="21"/>
          <w:highlight w:val="none"/>
        </w:rPr>
        <w:t>                                                        供应商代表：</w:t>
      </w:r>
      <w:r>
        <w:rPr>
          <w:rFonts w:hint="eastAsia" w:ascii="宋体" w:hAnsi="宋体" w:cs="宋体"/>
          <w:color w:val="auto"/>
          <w:sz w:val="21"/>
          <w:szCs w:val="21"/>
          <w:highlight w:val="none"/>
          <w:u w:val="single"/>
        </w:rPr>
        <w:t>      （签字）</w:t>
      </w:r>
      <w:r>
        <w:rPr>
          <w:rFonts w:hint="eastAsia" w:ascii="宋体" w:hAnsi="宋体" w:cs="宋体"/>
          <w:color w:val="auto"/>
          <w:sz w:val="21"/>
          <w:szCs w:val="21"/>
          <w:highlight w:val="none"/>
        </w:rPr>
        <w:t>   </w:t>
      </w:r>
    </w:p>
    <w:p>
      <w:pPr>
        <w:pStyle w:val="12"/>
        <w:widowControl/>
        <w:spacing w:before="75" w:beforeAutospacing="0" w:after="75" w:afterAutospacing="0" w:line="375" w:lineRule="atLeast"/>
        <w:rPr>
          <w:rFonts w:ascii="宋体" w:hAnsi="宋体" w:cs="宋体"/>
          <w:color w:val="auto"/>
          <w:sz w:val="21"/>
          <w:szCs w:val="21"/>
          <w:highlight w:val="none"/>
        </w:rPr>
      </w:pPr>
      <w:r>
        <w:rPr>
          <w:rFonts w:hint="eastAsia" w:ascii="宋体" w:hAnsi="宋体" w:cs="宋体"/>
          <w:color w:val="auto"/>
          <w:sz w:val="21"/>
          <w:szCs w:val="21"/>
          <w:highlight w:val="none"/>
        </w:rPr>
        <w:t> </w:t>
      </w:r>
    </w:p>
    <w:p>
      <w:pPr>
        <w:pStyle w:val="12"/>
        <w:widowControl/>
        <w:spacing w:before="75" w:beforeAutospacing="0" w:after="75" w:afterAutospacing="0" w:line="375" w:lineRule="atLeast"/>
        <w:rPr>
          <w:rFonts w:ascii="宋体" w:hAnsi="宋体" w:cs="宋体"/>
          <w:color w:val="auto"/>
          <w:sz w:val="21"/>
          <w:szCs w:val="21"/>
          <w:highlight w:val="none"/>
        </w:rPr>
      </w:pPr>
    </w:p>
    <w:p>
      <w:pPr>
        <w:pStyle w:val="12"/>
        <w:widowControl/>
        <w:spacing w:before="75" w:beforeAutospacing="0" w:after="75" w:afterAutospacing="0" w:line="375" w:lineRule="atLeast"/>
        <w:rPr>
          <w:rFonts w:ascii="宋体" w:hAnsi="宋体" w:cs="宋体"/>
          <w:color w:val="auto"/>
          <w:sz w:val="21"/>
          <w:szCs w:val="21"/>
          <w:highlight w:val="none"/>
        </w:rPr>
      </w:pPr>
      <w:r>
        <w:rPr>
          <w:rFonts w:hint="eastAsia" w:ascii="宋体" w:hAnsi="宋体" w:cs="宋体"/>
          <w:color w:val="auto"/>
          <w:sz w:val="21"/>
          <w:szCs w:val="21"/>
          <w:highlight w:val="none"/>
        </w:rPr>
        <w:t> </w:t>
      </w:r>
    </w:p>
    <w:p>
      <w:pPr>
        <w:pStyle w:val="12"/>
        <w:widowControl/>
        <w:spacing w:before="75" w:beforeAutospacing="0" w:after="75" w:afterAutospacing="0"/>
        <w:rPr>
          <w:rFonts w:ascii="宋体" w:hAnsi="宋体" w:cs="宋体"/>
          <w:color w:val="auto"/>
          <w:sz w:val="21"/>
          <w:szCs w:val="21"/>
          <w:highlight w:val="none"/>
        </w:rPr>
      </w:pPr>
    </w:p>
    <w:p>
      <w:pPr>
        <w:pStyle w:val="12"/>
        <w:widowControl/>
        <w:spacing w:before="75" w:beforeAutospacing="0" w:after="75" w:afterAutospacing="0"/>
        <w:rPr>
          <w:rFonts w:ascii="宋体" w:hAnsi="宋体" w:cs="宋体"/>
          <w:color w:val="auto"/>
          <w:sz w:val="21"/>
          <w:szCs w:val="21"/>
          <w:highlight w:val="none"/>
        </w:rPr>
      </w:pPr>
    </w:p>
    <w:p>
      <w:pPr>
        <w:pStyle w:val="12"/>
        <w:widowControl/>
        <w:spacing w:before="75" w:beforeAutospacing="0" w:after="75" w:afterAutospacing="0"/>
        <w:jc w:val="center"/>
        <w:rPr>
          <w:rFonts w:ascii="宋体" w:hAnsi="宋体" w:cs="宋体"/>
          <w:color w:val="auto"/>
          <w:sz w:val="21"/>
          <w:szCs w:val="21"/>
          <w:highlight w:val="none"/>
        </w:rPr>
      </w:pPr>
      <w:r>
        <w:rPr>
          <w:rFonts w:hint="eastAsia" w:ascii="宋体" w:hAnsi="宋体" w:cs="宋体"/>
          <w:color w:val="auto"/>
          <w:sz w:val="21"/>
          <w:szCs w:val="21"/>
          <w:highlight w:val="none"/>
        </w:rPr>
        <w:br w:type="page"/>
      </w:r>
      <w:r>
        <w:rPr>
          <w:rFonts w:hint="eastAsia" w:ascii="宋体" w:hAnsi="宋体" w:cs="宋体"/>
          <w:b/>
          <w:bCs/>
          <w:color w:val="auto"/>
          <w:sz w:val="21"/>
          <w:szCs w:val="21"/>
          <w:highlight w:val="none"/>
        </w:rPr>
        <w:t>附件2-1   </w:t>
      </w:r>
      <w:r>
        <w:rPr>
          <w:rStyle w:val="18"/>
          <w:rFonts w:hint="eastAsia" w:ascii="宋体" w:hAnsi="宋体" w:cs="宋体"/>
          <w:color w:val="auto"/>
          <w:sz w:val="21"/>
          <w:szCs w:val="21"/>
          <w:highlight w:val="none"/>
        </w:rPr>
        <w:t>详细报价书</w:t>
      </w:r>
    </w:p>
    <w:p>
      <w:pPr>
        <w:pStyle w:val="12"/>
        <w:widowControl/>
        <w:spacing w:before="75" w:beforeAutospacing="0" w:after="75" w:afterAutospacing="0" w:line="495" w:lineRule="atLeast"/>
        <w:rPr>
          <w:rFonts w:ascii="宋体" w:hAnsi="宋体" w:cs="宋体"/>
          <w:color w:val="auto"/>
          <w:sz w:val="21"/>
          <w:szCs w:val="21"/>
          <w:highlight w:val="none"/>
        </w:rPr>
      </w:pPr>
      <w:r>
        <w:rPr>
          <w:rStyle w:val="18"/>
          <w:rFonts w:hint="eastAsia" w:ascii="宋体" w:hAnsi="宋体" w:cs="宋体"/>
          <w:color w:val="auto"/>
          <w:sz w:val="21"/>
          <w:szCs w:val="21"/>
          <w:highlight w:val="none"/>
        </w:rPr>
        <w:t> </w:t>
      </w:r>
    </w:p>
    <w:p>
      <w:pPr>
        <w:pStyle w:val="12"/>
        <w:widowControl/>
        <w:spacing w:before="75" w:beforeAutospacing="0" w:after="75" w:afterAutospacing="0" w:line="495" w:lineRule="atLeast"/>
        <w:rPr>
          <w:rFonts w:ascii="宋体" w:hAnsi="宋体" w:cs="宋体"/>
          <w:color w:val="auto"/>
          <w:sz w:val="21"/>
          <w:szCs w:val="21"/>
          <w:highlight w:val="none"/>
        </w:rPr>
      </w:pPr>
      <w:r>
        <w:rPr>
          <w:rStyle w:val="18"/>
          <w:rFonts w:hint="eastAsia" w:ascii="宋体" w:hAnsi="宋体" w:cs="宋体"/>
          <w:color w:val="auto"/>
          <w:sz w:val="21"/>
          <w:szCs w:val="21"/>
          <w:highlight w:val="none"/>
        </w:rPr>
        <w:t>说明：</w:t>
      </w:r>
    </w:p>
    <w:p>
      <w:pPr>
        <w:pStyle w:val="12"/>
        <w:widowControl/>
        <w:spacing w:before="75" w:beforeAutospacing="0" w:after="75" w:afterAutospacing="0" w:line="465" w:lineRule="atLeast"/>
        <w:ind w:firstLine="480"/>
        <w:rPr>
          <w:rFonts w:ascii="宋体" w:hAnsi="宋体" w:cs="宋体"/>
          <w:color w:val="auto"/>
          <w:sz w:val="21"/>
          <w:szCs w:val="21"/>
          <w:highlight w:val="none"/>
        </w:rPr>
      </w:pPr>
      <w:r>
        <w:rPr>
          <w:rFonts w:hint="eastAsia" w:ascii="宋体" w:hAnsi="宋体" w:cs="宋体"/>
          <w:color w:val="auto"/>
          <w:sz w:val="21"/>
          <w:szCs w:val="21"/>
          <w:highlight w:val="none"/>
        </w:rPr>
        <w:t>1.各供应商应根据竞争性磋商文件的要求，在响应文件中提出为完成本项目相应采购包工作所必需包含的详细工作内容（如：详细具体货物或服务或工程量清单内容），并以此做出详细的报价书。详细报价书应做出详细完整的报价单价和合价，并汇总计算出报价总价。采购人或采购代理机构如果对详细报价书有统一格式要求的，可以进行规定或附表。如果没有特别要求的，则格式由供应商根据项目特点自行拟制。</w:t>
      </w:r>
    </w:p>
    <w:p>
      <w:pPr>
        <w:pStyle w:val="12"/>
        <w:widowControl/>
        <w:spacing w:before="75" w:beforeAutospacing="0" w:after="75" w:afterAutospacing="0" w:line="495" w:lineRule="atLeast"/>
        <w:ind w:firstLine="480"/>
        <w:rPr>
          <w:rFonts w:ascii="宋体" w:hAnsi="宋体" w:cs="宋体"/>
          <w:color w:val="auto"/>
          <w:sz w:val="21"/>
          <w:szCs w:val="21"/>
          <w:highlight w:val="none"/>
        </w:rPr>
      </w:pPr>
      <w:r>
        <w:rPr>
          <w:rFonts w:hint="eastAsia" w:ascii="宋体" w:hAnsi="宋体" w:cs="宋体"/>
          <w:color w:val="auto"/>
          <w:sz w:val="21"/>
          <w:szCs w:val="21"/>
          <w:highlight w:val="none"/>
        </w:rPr>
        <w:t>2.为完成相应采购包项下的全部工作所涉及的费用都应包含在详细报价书的各个单项中，供应商应充分考虑和评估。供应商未做详细分析或理解偏差错漏或不认真严谨等原因造成其未将本合同项下相关项目和费用列入详细报价书的，均视同相关项目和费用为已包含在详细报价书的其他单价或合价中，采购人在合同执行过程中，不再多还少补。</w:t>
      </w:r>
    </w:p>
    <w:p>
      <w:pPr>
        <w:pStyle w:val="12"/>
        <w:widowControl/>
        <w:spacing w:before="75" w:beforeAutospacing="0" w:after="75" w:afterAutospacing="0" w:line="495" w:lineRule="atLeast"/>
        <w:ind w:firstLine="480"/>
        <w:rPr>
          <w:rFonts w:ascii="宋体" w:hAnsi="宋体" w:cs="宋体"/>
          <w:color w:val="auto"/>
          <w:sz w:val="21"/>
          <w:szCs w:val="21"/>
          <w:highlight w:val="none"/>
        </w:rPr>
      </w:pPr>
      <w:r>
        <w:rPr>
          <w:rFonts w:hint="eastAsia" w:ascii="宋体" w:hAnsi="宋体" w:cs="宋体"/>
          <w:color w:val="auto"/>
          <w:sz w:val="21"/>
          <w:szCs w:val="21"/>
          <w:highlight w:val="none"/>
        </w:rPr>
        <w:t>  3.对于不能详细列明采购标的的技术、服务要求的磋商采购项目或者如优惠率磋商、单价磋商等特殊类型的磋商采购项目，由供应商根据磋商文件的具体规定和项目特点提交详细报价书，采购人或采购代理机构如果对详细报价书有统一格式要求的，可以进行规定或附表。如果没有特别要求的，则格式由供应商根据项目特点自行拟制。</w:t>
      </w:r>
    </w:p>
    <w:p>
      <w:pPr>
        <w:pStyle w:val="12"/>
        <w:widowControl/>
        <w:spacing w:before="75" w:beforeAutospacing="0" w:after="75" w:afterAutospacing="0" w:line="495" w:lineRule="atLeast"/>
        <w:ind w:firstLine="480"/>
        <w:rPr>
          <w:rFonts w:ascii="宋体" w:hAnsi="宋体" w:cs="宋体"/>
          <w:color w:val="auto"/>
          <w:sz w:val="21"/>
          <w:szCs w:val="21"/>
          <w:highlight w:val="none"/>
        </w:rPr>
      </w:pPr>
      <w:r>
        <w:rPr>
          <w:rFonts w:hint="eastAsia" w:ascii="宋体" w:hAnsi="宋体" w:cs="宋体"/>
          <w:color w:val="auto"/>
          <w:sz w:val="21"/>
          <w:szCs w:val="21"/>
          <w:highlight w:val="none"/>
        </w:rPr>
        <w:t> </w:t>
      </w:r>
    </w:p>
    <w:p>
      <w:pPr>
        <w:pStyle w:val="12"/>
        <w:widowControl/>
        <w:spacing w:before="75" w:beforeAutospacing="0" w:after="75" w:afterAutospacing="0" w:line="495" w:lineRule="atLeast"/>
        <w:rPr>
          <w:rFonts w:ascii="宋体" w:hAnsi="宋体" w:cs="宋体"/>
          <w:color w:val="auto"/>
          <w:sz w:val="21"/>
          <w:szCs w:val="21"/>
          <w:highlight w:val="none"/>
        </w:rPr>
      </w:pPr>
      <w:r>
        <w:rPr>
          <w:rFonts w:hint="eastAsia" w:ascii="宋体" w:hAnsi="宋体" w:cs="宋体"/>
          <w:color w:val="auto"/>
          <w:sz w:val="21"/>
          <w:szCs w:val="21"/>
          <w:highlight w:val="none"/>
        </w:rPr>
        <w:t> </w:t>
      </w:r>
    </w:p>
    <w:p>
      <w:pPr>
        <w:pStyle w:val="12"/>
        <w:widowControl/>
        <w:spacing w:before="75" w:beforeAutospacing="0" w:after="75" w:afterAutospacing="0" w:line="435" w:lineRule="atLeast"/>
        <w:rPr>
          <w:rFonts w:ascii="宋体" w:hAnsi="宋体" w:cs="宋体"/>
          <w:color w:val="auto"/>
          <w:sz w:val="21"/>
          <w:szCs w:val="21"/>
          <w:highlight w:val="none"/>
        </w:rPr>
      </w:pPr>
      <w:r>
        <w:rPr>
          <w:rFonts w:hint="eastAsia" w:ascii="宋体" w:hAnsi="宋体" w:cs="宋体"/>
          <w:color w:val="auto"/>
          <w:sz w:val="21"/>
          <w:szCs w:val="21"/>
          <w:highlight w:val="none"/>
        </w:rPr>
        <w:t> </w:t>
      </w:r>
    </w:p>
    <w:p>
      <w:pPr>
        <w:pStyle w:val="12"/>
        <w:widowControl/>
        <w:spacing w:before="75" w:beforeAutospacing="0" w:after="75" w:afterAutospacing="0" w:line="435" w:lineRule="atLeast"/>
        <w:rPr>
          <w:rFonts w:ascii="宋体" w:hAnsi="宋体" w:cs="宋体"/>
          <w:color w:val="auto"/>
          <w:sz w:val="21"/>
          <w:szCs w:val="21"/>
          <w:highlight w:val="none"/>
        </w:rPr>
      </w:pPr>
      <w:r>
        <w:rPr>
          <w:rFonts w:hint="eastAsia" w:ascii="宋体" w:hAnsi="宋体" w:cs="宋体"/>
          <w:color w:val="auto"/>
          <w:sz w:val="21"/>
          <w:szCs w:val="21"/>
          <w:highlight w:val="none"/>
        </w:rPr>
        <w:t> </w:t>
      </w:r>
    </w:p>
    <w:p>
      <w:pPr>
        <w:pStyle w:val="12"/>
        <w:widowControl/>
        <w:spacing w:before="75" w:beforeAutospacing="0" w:after="75" w:afterAutospacing="0" w:line="435" w:lineRule="atLeast"/>
        <w:rPr>
          <w:rFonts w:ascii="宋体" w:hAnsi="宋体" w:cs="宋体"/>
          <w:color w:val="auto"/>
          <w:sz w:val="21"/>
          <w:szCs w:val="21"/>
          <w:highlight w:val="none"/>
        </w:rPr>
      </w:pPr>
      <w:r>
        <w:rPr>
          <w:rFonts w:hint="eastAsia" w:ascii="宋体" w:hAnsi="宋体" w:cs="宋体"/>
          <w:color w:val="auto"/>
          <w:sz w:val="21"/>
          <w:szCs w:val="21"/>
          <w:highlight w:val="none"/>
        </w:rPr>
        <w:t>供应商代表：</w:t>
      </w:r>
      <w:r>
        <w:rPr>
          <w:rFonts w:hint="eastAsia" w:ascii="宋体" w:hAnsi="宋体" w:cs="宋体"/>
          <w:color w:val="auto"/>
          <w:sz w:val="21"/>
          <w:szCs w:val="21"/>
          <w:highlight w:val="none"/>
          <w:u w:val="single"/>
        </w:rPr>
        <w:t>             （签字） </w:t>
      </w:r>
    </w:p>
    <w:p>
      <w:pPr>
        <w:pStyle w:val="12"/>
        <w:widowControl/>
        <w:spacing w:before="75" w:beforeAutospacing="0" w:after="75" w:afterAutospacing="0" w:line="435" w:lineRule="atLeast"/>
        <w:rPr>
          <w:rFonts w:ascii="宋体" w:hAnsi="宋体" w:cs="宋体"/>
          <w:color w:val="auto"/>
          <w:sz w:val="21"/>
          <w:szCs w:val="21"/>
          <w:highlight w:val="none"/>
        </w:rPr>
      </w:pPr>
      <w:r>
        <w:rPr>
          <w:rFonts w:hint="eastAsia" w:ascii="宋体" w:hAnsi="宋体" w:cs="宋体"/>
          <w:color w:val="auto"/>
          <w:sz w:val="21"/>
          <w:szCs w:val="21"/>
          <w:highlight w:val="none"/>
        </w:rPr>
        <w:t>供应商名称：</w:t>
      </w:r>
      <w:r>
        <w:rPr>
          <w:rFonts w:hint="eastAsia" w:ascii="宋体" w:hAnsi="宋体" w:cs="宋体"/>
          <w:color w:val="auto"/>
          <w:sz w:val="21"/>
          <w:szCs w:val="21"/>
          <w:highlight w:val="none"/>
          <w:u w:val="single"/>
        </w:rPr>
        <w:t>         （全称并加盖公章）              .</w:t>
      </w:r>
    </w:p>
    <w:p>
      <w:pPr>
        <w:pStyle w:val="12"/>
        <w:widowControl/>
        <w:spacing w:before="75" w:beforeAutospacing="0" w:after="75" w:afterAutospacing="0" w:line="435" w:lineRule="atLeast"/>
        <w:rPr>
          <w:rFonts w:ascii="宋体" w:hAnsi="宋体" w:cs="宋体"/>
          <w:color w:val="auto"/>
          <w:sz w:val="21"/>
          <w:szCs w:val="21"/>
          <w:highlight w:val="none"/>
        </w:rPr>
      </w:pPr>
      <w:r>
        <w:rPr>
          <w:rFonts w:hint="eastAsia" w:ascii="宋体" w:hAnsi="宋体" w:cs="宋体"/>
          <w:color w:val="auto"/>
          <w:sz w:val="21"/>
          <w:szCs w:val="21"/>
          <w:highlight w:val="none"/>
        </w:rPr>
        <w:t>日  期： </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年 </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月 </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日</w:t>
      </w:r>
    </w:p>
    <w:p>
      <w:pPr>
        <w:pStyle w:val="12"/>
        <w:widowControl/>
        <w:spacing w:before="75" w:beforeAutospacing="0" w:after="75" w:afterAutospacing="0" w:line="375" w:lineRule="atLeast"/>
        <w:rPr>
          <w:rFonts w:ascii="宋体" w:hAnsi="宋体" w:cs="宋体"/>
          <w:color w:val="auto"/>
          <w:sz w:val="21"/>
          <w:szCs w:val="21"/>
          <w:highlight w:val="none"/>
        </w:rPr>
      </w:pPr>
      <w:r>
        <w:rPr>
          <w:rFonts w:hint="eastAsia" w:ascii="宋体" w:hAnsi="宋体" w:cs="宋体"/>
          <w:color w:val="auto"/>
          <w:sz w:val="21"/>
          <w:szCs w:val="21"/>
          <w:highlight w:val="none"/>
        </w:rPr>
        <w:t> </w:t>
      </w:r>
    </w:p>
    <w:p>
      <w:pPr>
        <w:widowControl/>
        <w:jc w:val="center"/>
        <w:rPr>
          <w:rFonts w:ascii="宋体" w:hAnsi="宋体" w:cs="宋体"/>
          <w:b/>
          <w:bCs/>
          <w:color w:val="auto"/>
          <w:kern w:val="0"/>
          <w:szCs w:val="21"/>
          <w:highlight w:val="none"/>
        </w:rPr>
      </w:pPr>
      <w:r>
        <w:rPr>
          <w:rFonts w:hint="eastAsia" w:ascii="宋体" w:hAnsi="宋体" w:cs="宋体"/>
          <w:color w:val="auto"/>
          <w:szCs w:val="21"/>
          <w:highlight w:val="none"/>
        </w:rPr>
        <w:br w:type="page"/>
      </w:r>
      <w:r>
        <w:rPr>
          <w:rFonts w:hint="eastAsia" w:ascii="宋体" w:hAnsi="宋体" w:cs="宋体"/>
          <w:b/>
          <w:color w:val="auto"/>
          <w:kern w:val="0"/>
          <w:szCs w:val="21"/>
          <w:highlight w:val="none"/>
        </w:rPr>
        <w:t xml:space="preserve">附件2-2   </w:t>
      </w:r>
      <w:r>
        <w:rPr>
          <w:rFonts w:hint="eastAsia" w:ascii="宋体" w:hAnsi="宋体" w:cs="宋体"/>
          <w:b/>
          <w:bCs/>
          <w:color w:val="auto"/>
          <w:kern w:val="0"/>
          <w:szCs w:val="21"/>
          <w:highlight w:val="none"/>
        </w:rPr>
        <w:t>最后报价一览表</w:t>
      </w:r>
    </w:p>
    <w:p>
      <w:pPr>
        <w:widowControl/>
        <w:jc w:val="center"/>
        <w:rPr>
          <w:rFonts w:ascii="宋体" w:hAnsi="宋体" w:cs="宋体"/>
          <w:b/>
          <w:bCs/>
          <w:color w:val="auto"/>
          <w:kern w:val="0"/>
          <w:szCs w:val="21"/>
          <w:highlight w:val="none"/>
        </w:rPr>
      </w:pPr>
    </w:p>
    <w:p>
      <w:pPr>
        <w:widowControl/>
        <w:ind w:firstLine="630" w:firstLineChars="300"/>
        <w:jc w:val="left"/>
        <w:rPr>
          <w:rFonts w:ascii="宋体" w:hAnsi="宋体" w:cs="宋体"/>
          <w:color w:val="auto"/>
          <w:kern w:val="0"/>
          <w:szCs w:val="21"/>
          <w:highlight w:val="none"/>
        </w:rPr>
      </w:pPr>
      <w:r>
        <w:rPr>
          <w:rFonts w:hint="eastAsia" w:ascii="宋体" w:hAnsi="宋体" w:cs="宋体"/>
          <w:color w:val="auto"/>
          <w:kern w:val="0"/>
          <w:szCs w:val="21"/>
          <w:highlight w:val="none"/>
        </w:rPr>
        <w:t>备注：（1）</w:t>
      </w:r>
      <w:r>
        <w:rPr>
          <w:rFonts w:hint="eastAsia" w:ascii="宋体" w:hAnsi="宋体" w:cs="宋体"/>
          <w:color w:val="auto"/>
          <w:szCs w:val="21"/>
          <w:highlight w:val="none"/>
        </w:rPr>
        <w:t>★</w:t>
      </w:r>
      <w:r>
        <w:rPr>
          <w:rFonts w:hint="eastAsia" w:ascii="宋体" w:hAnsi="宋体" w:cs="宋体"/>
          <w:b/>
          <w:bCs/>
          <w:color w:val="auto"/>
          <w:kern w:val="0"/>
          <w:szCs w:val="21"/>
          <w:highlight w:val="none"/>
        </w:rPr>
        <w:t>此表为供应商磋商时填写的最后报价一览表，须盖章或签名。供应商可多备几份，不用装订在响应文件中。</w:t>
      </w:r>
    </w:p>
    <w:p>
      <w:pPr>
        <w:widowControl/>
        <w:ind w:firstLine="630" w:firstLineChars="300"/>
        <w:jc w:val="left"/>
        <w:rPr>
          <w:rFonts w:ascii="宋体" w:hAnsi="宋体" w:cs="宋体"/>
          <w:color w:val="auto"/>
          <w:kern w:val="0"/>
          <w:szCs w:val="21"/>
          <w:highlight w:val="none"/>
        </w:rPr>
      </w:pPr>
      <w:r>
        <w:rPr>
          <w:rFonts w:hint="eastAsia" w:ascii="宋体" w:hAnsi="宋体" w:cs="宋体"/>
          <w:color w:val="auto"/>
          <w:szCs w:val="21"/>
          <w:highlight w:val="none"/>
        </w:rPr>
        <w:t>（2）</w:t>
      </w:r>
      <w:r>
        <w:rPr>
          <w:rFonts w:hint="eastAsia" w:ascii="宋体" w:hAnsi="宋体" w:cs="宋体"/>
          <w:color w:val="auto"/>
          <w:kern w:val="0"/>
          <w:szCs w:val="21"/>
          <w:highlight w:val="none"/>
        </w:rPr>
        <w:t>详细报价书可另纸详列，格式自拟。</w:t>
      </w:r>
    </w:p>
    <w:p>
      <w:pPr>
        <w:widowControl/>
        <w:ind w:firstLine="630" w:firstLineChars="300"/>
        <w:jc w:val="left"/>
        <w:rPr>
          <w:rFonts w:ascii="宋体" w:hAnsi="宋体" w:cs="宋体"/>
          <w:color w:val="auto"/>
          <w:kern w:val="0"/>
          <w:szCs w:val="21"/>
          <w:highlight w:val="none"/>
        </w:rPr>
      </w:pPr>
    </w:p>
    <w:p>
      <w:pPr>
        <w:widowControl/>
        <w:jc w:val="center"/>
        <w:rPr>
          <w:rFonts w:ascii="宋体" w:hAnsi="宋体" w:cs="宋体"/>
          <w:color w:val="auto"/>
          <w:kern w:val="0"/>
          <w:szCs w:val="21"/>
          <w:highlight w:val="none"/>
        </w:rPr>
      </w:pPr>
    </w:p>
    <w:p>
      <w:pPr>
        <w:spacing w:line="360" w:lineRule="auto"/>
        <w:rPr>
          <w:rFonts w:ascii="宋体" w:hAnsi="宋体"/>
          <w:color w:val="auto"/>
          <w:szCs w:val="21"/>
          <w:highlight w:val="none"/>
        </w:rPr>
      </w:pPr>
      <w:r>
        <w:rPr>
          <w:rFonts w:hint="eastAsia" w:ascii="宋体" w:hAnsi="宋体"/>
          <w:color w:val="auto"/>
          <w:szCs w:val="21"/>
          <w:highlight w:val="none"/>
        </w:rPr>
        <w:t>1、项目名称：</w:t>
      </w:r>
    </w:p>
    <w:p>
      <w:pPr>
        <w:spacing w:line="360" w:lineRule="auto"/>
        <w:rPr>
          <w:rFonts w:ascii="宋体" w:hAnsi="宋体"/>
          <w:color w:val="auto"/>
          <w:szCs w:val="21"/>
          <w:highlight w:val="none"/>
        </w:rPr>
      </w:pPr>
      <w:r>
        <w:rPr>
          <w:rFonts w:hint="eastAsia" w:ascii="宋体" w:hAnsi="宋体"/>
          <w:color w:val="auto"/>
          <w:szCs w:val="21"/>
          <w:highlight w:val="none"/>
        </w:rPr>
        <w:t>2、项目编号：</w:t>
      </w:r>
    </w:p>
    <w:p>
      <w:pPr>
        <w:spacing w:line="360" w:lineRule="exact"/>
        <w:rPr>
          <w:rFonts w:ascii="宋体" w:hAnsi="宋体"/>
          <w:color w:val="auto"/>
          <w:szCs w:val="21"/>
          <w:highlight w:val="none"/>
          <w:u w:val="single"/>
        </w:rPr>
      </w:pPr>
    </w:p>
    <w:tbl>
      <w:tblPr>
        <w:tblStyle w:val="15"/>
        <w:tblW w:w="9378"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7"/>
        <w:gridCol w:w="3975"/>
        <w:gridCol w:w="1100"/>
        <w:gridCol w:w="1362"/>
        <w:gridCol w:w="20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8" w:hRule="atLeast"/>
        </w:trPr>
        <w:tc>
          <w:tcPr>
            <w:tcW w:w="917" w:type="dxa"/>
            <w:vAlign w:val="center"/>
          </w:tcPr>
          <w:p>
            <w:pPr>
              <w:keepNext w:val="0"/>
              <w:keepLines w:val="0"/>
              <w:suppressLineNumbers w:val="0"/>
              <w:spacing w:before="100" w:beforeAutospacing="1" w:after="100" w:afterAutospacing="1"/>
              <w:ind w:left="0" w:right="0"/>
              <w:jc w:val="center"/>
              <w:rPr>
                <w:rFonts w:hint="default" w:ascii="宋体" w:hAnsi="宋体"/>
                <w:b/>
                <w:bCs/>
                <w:color w:val="auto"/>
                <w:szCs w:val="21"/>
                <w:highlight w:val="none"/>
              </w:rPr>
            </w:pPr>
            <w:r>
              <w:rPr>
                <w:rFonts w:hint="eastAsia" w:ascii="宋体" w:hAnsi="宋体"/>
                <w:b/>
                <w:bCs/>
                <w:color w:val="auto"/>
                <w:szCs w:val="21"/>
                <w:highlight w:val="none"/>
              </w:rPr>
              <w:t>采购包</w:t>
            </w:r>
          </w:p>
        </w:tc>
        <w:tc>
          <w:tcPr>
            <w:tcW w:w="3975" w:type="dxa"/>
            <w:vAlign w:val="center"/>
          </w:tcPr>
          <w:p>
            <w:pPr>
              <w:keepNext w:val="0"/>
              <w:keepLines w:val="0"/>
              <w:suppressLineNumbers w:val="0"/>
              <w:spacing w:before="100" w:beforeAutospacing="1" w:after="100" w:afterAutospacing="1"/>
              <w:ind w:left="0" w:right="0"/>
              <w:jc w:val="center"/>
              <w:rPr>
                <w:rFonts w:hint="default" w:ascii="宋体" w:hAnsi="宋体"/>
                <w:b/>
                <w:bCs/>
                <w:color w:val="auto"/>
                <w:szCs w:val="21"/>
                <w:highlight w:val="none"/>
              </w:rPr>
            </w:pPr>
            <w:r>
              <w:rPr>
                <w:rFonts w:hint="eastAsia" w:ascii="宋体" w:hAnsi="宋体"/>
                <w:b/>
                <w:bCs/>
                <w:color w:val="auto"/>
                <w:szCs w:val="21"/>
                <w:highlight w:val="none"/>
              </w:rPr>
              <w:t>标的名称</w:t>
            </w:r>
          </w:p>
        </w:tc>
        <w:tc>
          <w:tcPr>
            <w:tcW w:w="1100" w:type="dxa"/>
            <w:vAlign w:val="center"/>
          </w:tcPr>
          <w:p>
            <w:pPr>
              <w:keepNext w:val="0"/>
              <w:keepLines w:val="0"/>
              <w:suppressLineNumbers w:val="0"/>
              <w:spacing w:before="100" w:beforeAutospacing="1" w:after="100" w:afterAutospacing="1"/>
              <w:ind w:left="0" w:right="0"/>
              <w:jc w:val="center"/>
              <w:rPr>
                <w:rFonts w:hint="default" w:ascii="宋体" w:hAnsi="宋体"/>
                <w:b/>
                <w:bCs/>
                <w:color w:val="auto"/>
                <w:szCs w:val="21"/>
                <w:highlight w:val="none"/>
              </w:rPr>
            </w:pPr>
            <w:r>
              <w:rPr>
                <w:rFonts w:hint="eastAsia" w:ascii="宋体" w:hAnsi="宋体"/>
                <w:b/>
                <w:bCs/>
                <w:color w:val="auto"/>
                <w:szCs w:val="21"/>
                <w:highlight w:val="none"/>
              </w:rPr>
              <w:t>数量</w:t>
            </w:r>
          </w:p>
        </w:tc>
        <w:tc>
          <w:tcPr>
            <w:tcW w:w="1362" w:type="dxa"/>
            <w:vAlign w:val="center"/>
          </w:tcPr>
          <w:p>
            <w:pPr>
              <w:keepNext w:val="0"/>
              <w:keepLines w:val="0"/>
              <w:suppressLineNumbers w:val="0"/>
              <w:spacing w:before="100" w:beforeAutospacing="1" w:after="100" w:afterAutospacing="1"/>
              <w:ind w:left="0" w:right="0"/>
              <w:jc w:val="center"/>
              <w:rPr>
                <w:rFonts w:hint="default" w:ascii="宋体" w:hAnsi="宋体"/>
                <w:b/>
                <w:bCs/>
                <w:color w:val="auto"/>
                <w:szCs w:val="21"/>
                <w:highlight w:val="none"/>
              </w:rPr>
            </w:pPr>
            <w:r>
              <w:rPr>
                <w:rFonts w:hint="eastAsia" w:ascii="宋体" w:hAnsi="宋体"/>
                <w:b/>
                <w:bCs/>
                <w:color w:val="auto"/>
                <w:szCs w:val="21"/>
                <w:highlight w:val="none"/>
              </w:rPr>
              <w:t>单价</w:t>
            </w:r>
          </w:p>
        </w:tc>
        <w:tc>
          <w:tcPr>
            <w:tcW w:w="2024" w:type="dxa"/>
            <w:vAlign w:val="center"/>
          </w:tcPr>
          <w:p>
            <w:pPr>
              <w:keepNext w:val="0"/>
              <w:keepLines w:val="0"/>
              <w:suppressLineNumbers w:val="0"/>
              <w:spacing w:before="100" w:beforeAutospacing="1" w:after="100" w:afterAutospacing="1"/>
              <w:ind w:left="0" w:right="0"/>
              <w:jc w:val="center"/>
              <w:rPr>
                <w:rFonts w:hint="default" w:ascii="宋体" w:hAnsi="宋体"/>
                <w:b/>
                <w:bCs/>
                <w:color w:val="auto"/>
                <w:szCs w:val="21"/>
                <w:highlight w:val="none"/>
              </w:rPr>
            </w:pPr>
            <w:r>
              <w:rPr>
                <w:rFonts w:hint="eastAsia" w:ascii="宋体" w:hAnsi="宋体"/>
                <w:b/>
                <w:bCs/>
                <w:color w:val="auto"/>
                <w:szCs w:val="21"/>
                <w:highlight w:val="none"/>
              </w:rPr>
              <w:t>最后报价(元)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2" w:hRule="atLeast"/>
        </w:trPr>
        <w:tc>
          <w:tcPr>
            <w:tcW w:w="917" w:type="dxa"/>
            <w:vAlign w:val="center"/>
          </w:tcPr>
          <w:p>
            <w:pPr>
              <w:keepNext w:val="0"/>
              <w:keepLines w:val="0"/>
              <w:suppressLineNumbers w:val="0"/>
              <w:spacing w:before="100" w:beforeAutospacing="1" w:after="100" w:afterAutospacing="1" w:line="500" w:lineRule="exact"/>
              <w:ind w:left="0" w:right="46" w:rightChars="22" w:firstLine="315" w:firstLineChars="150"/>
              <w:rPr>
                <w:rFonts w:hint="default" w:ascii="宋体" w:hAnsi="宋体"/>
                <w:color w:val="auto"/>
                <w:szCs w:val="21"/>
                <w:highlight w:val="none"/>
              </w:rPr>
            </w:pPr>
            <w:r>
              <w:rPr>
                <w:rFonts w:hint="eastAsia" w:ascii="宋体" w:hAnsi="宋体"/>
                <w:color w:val="auto"/>
                <w:szCs w:val="21"/>
                <w:highlight w:val="none"/>
              </w:rPr>
              <w:t xml:space="preserve"> </w:t>
            </w:r>
          </w:p>
        </w:tc>
        <w:tc>
          <w:tcPr>
            <w:tcW w:w="3975" w:type="dxa"/>
            <w:vAlign w:val="center"/>
          </w:tcPr>
          <w:p>
            <w:pPr>
              <w:keepNext w:val="0"/>
              <w:keepLines w:val="0"/>
              <w:suppressLineNumbers w:val="0"/>
              <w:spacing w:before="0" w:beforeAutospacing="0" w:after="0" w:afterAutospacing="0"/>
              <w:ind w:left="0" w:right="-44" w:rightChars="-21"/>
              <w:jc w:val="center"/>
              <w:rPr>
                <w:rFonts w:hint="default" w:ascii="宋体" w:hAnsi="宋体"/>
                <w:color w:val="auto"/>
                <w:szCs w:val="21"/>
                <w:highlight w:val="none"/>
              </w:rPr>
            </w:pPr>
          </w:p>
        </w:tc>
        <w:tc>
          <w:tcPr>
            <w:tcW w:w="1100" w:type="dxa"/>
            <w:vAlign w:val="center"/>
          </w:tcPr>
          <w:p>
            <w:pPr>
              <w:keepNext w:val="0"/>
              <w:keepLines w:val="0"/>
              <w:suppressLineNumbers w:val="0"/>
              <w:spacing w:before="0" w:beforeAutospacing="0" w:after="0" w:afterAutospacing="0"/>
              <w:ind w:left="0" w:right="0"/>
              <w:jc w:val="center"/>
              <w:rPr>
                <w:rFonts w:hint="default" w:ascii="宋体" w:hAnsi="宋体" w:cs="宋体"/>
                <w:bCs/>
                <w:color w:val="auto"/>
                <w:kern w:val="0"/>
                <w:szCs w:val="21"/>
                <w:highlight w:val="none"/>
              </w:rPr>
            </w:pPr>
          </w:p>
        </w:tc>
        <w:tc>
          <w:tcPr>
            <w:tcW w:w="1362" w:type="dxa"/>
            <w:vAlign w:val="center"/>
          </w:tcPr>
          <w:p>
            <w:pPr>
              <w:keepNext w:val="0"/>
              <w:keepLines w:val="0"/>
              <w:suppressLineNumbers w:val="0"/>
              <w:spacing w:before="0" w:beforeAutospacing="0" w:after="0" w:afterAutospacing="0"/>
              <w:ind w:left="0" w:right="0"/>
              <w:jc w:val="center"/>
              <w:rPr>
                <w:rFonts w:hint="default" w:ascii="宋体" w:hAnsi="宋体" w:cs="宋体"/>
                <w:bCs/>
                <w:color w:val="auto"/>
                <w:kern w:val="0"/>
                <w:szCs w:val="21"/>
                <w:highlight w:val="none"/>
              </w:rPr>
            </w:pPr>
          </w:p>
        </w:tc>
        <w:tc>
          <w:tcPr>
            <w:tcW w:w="2024" w:type="dxa"/>
            <w:vAlign w:val="center"/>
          </w:tcPr>
          <w:p>
            <w:pPr>
              <w:keepNext w:val="0"/>
              <w:keepLines w:val="0"/>
              <w:suppressLineNumbers w:val="0"/>
              <w:spacing w:before="100" w:beforeAutospacing="1" w:after="100" w:afterAutospacing="1" w:line="500" w:lineRule="exact"/>
              <w:ind w:left="0" w:right="0"/>
              <w:jc w:val="center"/>
              <w:rPr>
                <w:rFonts w:hint="default"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5" w:hRule="atLeast"/>
        </w:trPr>
        <w:tc>
          <w:tcPr>
            <w:tcW w:w="4892" w:type="dxa"/>
            <w:gridSpan w:val="2"/>
            <w:vAlign w:val="center"/>
          </w:tcPr>
          <w:p>
            <w:pPr>
              <w:keepNext w:val="0"/>
              <w:keepLines w:val="0"/>
              <w:suppressLineNumbers w:val="0"/>
              <w:spacing w:before="0" w:beforeAutospacing="0" w:after="0" w:afterAutospacing="0" w:line="500" w:lineRule="exact"/>
              <w:ind w:left="0" w:right="0"/>
              <w:jc w:val="center"/>
              <w:rPr>
                <w:rFonts w:hint="default" w:ascii="宋体" w:hAnsi="宋体"/>
                <w:color w:val="auto"/>
                <w:szCs w:val="21"/>
                <w:highlight w:val="none"/>
              </w:rPr>
            </w:pPr>
            <w:r>
              <w:rPr>
                <w:rFonts w:hint="eastAsia" w:ascii="宋体" w:hAnsi="宋体"/>
                <w:b/>
                <w:bCs/>
                <w:color w:val="auto"/>
                <w:szCs w:val="21"/>
                <w:highlight w:val="none"/>
              </w:rPr>
              <w:t>最后报价(大写)</w:t>
            </w:r>
          </w:p>
        </w:tc>
        <w:tc>
          <w:tcPr>
            <w:tcW w:w="4486" w:type="dxa"/>
            <w:gridSpan w:val="3"/>
            <w:vAlign w:val="center"/>
          </w:tcPr>
          <w:p>
            <w:pPr>
              <w:keepNext w:val="0"/>
              <w:keepLines w:val="0"/>
              <w:suppressLineNumbers w:val="0"/>
              <w:spacing w:before="0" w:beforeAutospacing="0" w:after="0" w:afterAutospacing="0" w:line="500" w:lineRule="exact"/>
              <w:ind w:left="0" w:right="0"/>
              <w:jc w:val="center"/>
              <w:rPr>
                <w:rFonts w:hint="default" w:ascii="宋体" w:hAnsi="宋体"/>
                <w:color w:val="auto"/>
                <w:szCs w:val="21"/>
                <w:highlight w:val="none"/>
              </w:rPr>
            </w:pPr>
          </w:p>
        </w:tc>
      </w:tr>
    </w:tbl>
    <w:p>
      <w:pPr>
        <w:tabs>
          <w:tab w:val="left" w:pos="5355"/>
        </w:tabs>
        <w:rPr>
          <w:rFonts w:ascii="宋体" w:hAnsi="宋体"/>
          <w:b/>
          <w:color w:val="auto"/>
          <w:szCs w:val="21"/>
          <w:highlight w:val="none"/>
        </w:rPr>
      </w:pPr>
    </w:p>
    <w:tbl>
      <w:tblPr>
        <w:tblStyle w:val="15"/>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4" w:hRule="atLeast"/>
        </w:trPr>
        <w:tc>
          <w:tcPr>
            <w:tcW w:w="9356" w:type="dxa"/>
          </w:tcPr>
          <w:p>
            <w:pPr>
              <w:keepNext w:val="0"/>
              <w:keepLines w:val="0"/>
              <w:suppressLineNumbers w:val="0"/>
              <w:tabs>
                <w:tab w:val="left" w:pos="5355"/>
              </w:tabs>
              <w:spacing w:before="0" w:beforeAutospacing="0" w:after="0" w:afterAutospacing="0"/>
              <w:ind w:left="0" w:right="0"/>
              <w:rPr>
                <w:rFonts w:hint="default" w:ascii="宋体" w:hAnsi="宋体"/>
                <w:b/>
                <w:color w:val="auto"/>
                <w:szCs w:val="21"/>
                <w:highlight w:val="none"/>
              </w:rPr>
            </w:pPr>
            <w:r>
              <w:rPr>
                <w:rFonts w:hint="eastAsia" w:ascii="宋体" w:hAnsi="宋体"/>
                <w:b/>
                <w:color w:val="auto"/>
                <w:szCs w:val="21"/>
                <w:highlight w:val="none"/>
              </w:rPr>
              <w:t>供应商其他补充承诺事项：</w:t>
            </w:r>
          </w:p>
          <w:p>
            <w:pPr>
              <w:keepNext w:val="0"/>
              <w:keepLines w:val="0"/>
              <w:suppressLineNumbers w:val="0"/>
              <w:tabs>
                <w:tab w:val="left" w:pos="5355"/>
              </w:tabs>
              <w:spacing w:before="0" w:beforeAutospacing="0" w:after="0" w:afterAutospacing="0"/>
              <w:ind w:left="0" w:right="0"/>
              <w:rPr>
                <w:rFonts w:hint="default" w:ascii="宋体" w:hAnsi="宋体"/>
                <w:b/>
                <w:color w:val="auto"/>
                <w:szCs w:val="21"/>
                <w:highlight w:val="none"/>
              </w:rPr>
            </w:pPr>
          </w:p>
        </w:tc>
      </w:tr>
    </w:tbl>
    <w:p>
      <w:pPr>
        <w:tabs>
          <w:tab w:val="left" w:pos="5355"/>
        </w:tabs>
        <w:rPr>
          <w:rFonts w:ascii="宋体" w:hAnsi="宋体" w:cs="宋体"/>
          <w:b/>
          <w:color w:val="auto"/>
          <w:szCs w:val="21"/>
          <w:highlight w:val="none"/>
        </w:rPr>
      </w:pPr>
    </w:p>
    <w:p>
      <w:pPr>
        <w:widowControl/>
        <w:spacing w:line="435" w:lineRule="atLeast"/>
        <w:rPr>
          <w:rFonts w:ascii="宋体" w:hAnsi="宋体" w:cs="宋体"/>
          <w:color w:val="auto"/>
          <w:kern w:val="0"/>
          <w:szCs w:val="21"/>
          <w:highlight w:val="none"/>
        </w:rPr>
      </w:pPr>
    </w:p>
    <w:p>
      <w:pPr>
        <w:widowControl/>
        <w:spacing w:line="435" w:lineRule="atLeast"/>
        <w:rPr>
          <w:rFonts w:ascii="宋体" w:hAnsi="宋体" w:cs="宋体"/>
          <w:color w:val="auto"/>
          <w:kern w:val="0"/>
          <w:szCs w:val="21"/>
          <w:highlight w:val="none"/>
        </w:rPr>
      </w:pPr>
      <w:r>
        <w:rPr>
          <w:rFonts w:hint="eastAsia" w:ascii="宋体" w:hAnsi="宋体" w:cs="宋体"/>
          <w:color w:val="auto"/>
          <w:kern w:val="0"/>
          <w:szCs w:val="21"/>
          <w:highlight w:val="none"/>
        </w:rPr>
        <w:t>供应商代表：    （签字） </w:t>
      </w:r>
    </w:p>
    <w:p>
      <w:pPr>
        <w:widowControl/>
        <w:spacing w:line="435" w:lineRule="atLeast"/>
        <w:rPr>
          <w:rFonts w:ascii="宋体" w:hAnsi="宋体" w:cs="宋体"/>
          <w:color w:val="auto"/>
          <w:kern w:val="0"/>
          <w:szCs w:val="21"/>
          <w:highlight w:val="none"/>
        </w:rPr>
      </w:pPr>
      <w:r>
        <w:rPr>
          <w:rFonts w:hint="eastAsia" w:ascii="宋体" w:hAnsi="宋体" w:cs="宋体"/>
          <w:color w:val="auto"/>
          <w:kern w:val="0"/>
          <w:szCs w:val="21"/>
          <w:highlight w:val="none"/>
        </w:rPr>
        <w:t xml:space="preserve">供应商名称：    （全称加盖公章） </w:t>
      </w:r>
    </w:p>
    <w:p>
      <w:pPr>
        <w:widowControl/>
        <w:spacing w:line="435" w:lineRule="atLeast"/>
        <w:rPr>
          <w:rFonts w:ascii="宋体" w:hAnsi="宋体" w:cs="宋体"/>
          <w:color w:val="auto"/>
          <w:kern w:val="0"/>
          <w:szCs w:val="21"/>
          <w:highlight w:val="none"/>
        </w:rPr>
      </w:pPr>
      <w:r>
        <w:rPr>
          <w:rFonts w:hint="eastAsia" w:ascii="宋体" w:hAnsi="宋体" w:cs="宋体"/>
          <w:color w:val="auto"/>
          <w:kern w:val="0"/>
          <w:szCs w:val="21"/>
          <w:highlight w:val="none"/>
        </w:rPr>
        <w:t>日期：    年    月    日</w:t>
      </w:r>
    </w:p>
    <w:p>
      <w:pPr>
        <w:pStyle w:val="12"/>
        <w:widowControl/>
        <w:spacing w:before="75" w:beforeAutospacing="0" w:after="75" w:afterAutospacing="0" w:line="375" w:lineRule="atLeast"/>
        <w:rPr>
          <w:rFonts w:ascii="宋体" w:hAnsi="宋体" w:cs="宋体"/>
          <w:color w:val="auto"/>
          <w:sz w:val="21"/>
          <w:szCs w:val="21"/>
          <w:highlight w:val="none"/>
        </w:rPr>
      </w:pPr>
    </w:p>
    <w:p>
      <w:pPr>
        <w:pStyle w:val="12"/>
        <w:widowControl/>
        <w:spacing w:before="75" w:beforeAutospacing="0" w:after="75" w:afterAutospacing="0" w:line="375" w:lineRule="atLeast"/>
        <w:rPr>
          <w:rFonts w:ascii="宋体" w:hAnsi="宋体" w:cs="宋体"/>
          <w:color w:val="auto"/>
          <w:sz w:val="21"/>
          <w:szCs w:val="21"/>
          <w:highlight w:val="none"/>
        </w:rPr>
      </w:pPr>
      <w:r>
        <w:rPr>
          <w:rFonts w:hint="eastAsia" w:ascii="宋体" w:hAnsi="宋体" w:cs="宋体"/>
          <w:color w:val="auto"/>
          <w:sz w:val="21"/>
          <w:szCs w:val="21"/>
          <w:highlight w:val="none"/>
        </w:rPr>
        <w:t> </w:t>
      </w:r>
    </w:p>
    <w:p>
      <w:pPr>
        <w:pStyle w:val="12"/>
        <w:widowControl/>
        <w:spacing w:before="75" w:beforeAutospacing="0" w:after="75" w:afterAutospacing="0" w:line="375" w:lineRule="atLeast"/>
        <w:jc w:val="center"/>
        <w:rPr>
          <w:rFonts w:ascii="宋体" w:hAnsi="宋体" w:cs="宋体"/>
          <w:color w:val="auto"/>
          <w:sz w:val="21"/>
          <w:szCs w:val="21"/>
          <w:highlight w:val="none"/>
        </w:rPr>
      </w:pPr>
      <w:bookmarkStart w:id="26" w:name="_Toc21569_WPSOffice_Level1"/>
      <w:r>
        <w:rPr>
          <w:rFonts w:hint="eastAsia" w:ascii="宋体" w:hAnsi="宋体" w:cs="宋体"/>
          <w:color w:val="auto"/>
          <w:sz w:val="21"/>
          <w:szCs w:val="21"/>
          <w:highlight w:val="none"/>
        </w:rPr>
        <w:br w:type="page"/>
      </w:r>
      <w:r>
        <w:rPr>
          <w:rFonts w:hint="eastAsia" w:ascii="宋体" w:hAnsi="宋体" w:cs="宋体"/>
          <w:b/>
          <w:bCs/>
          <w:color w:val="auto"/>
          <w:sz w:val="21"/>
          <w:szCs w:val="21"/>
          <w:highlight w:val="none"/>
        </w:rPr>
        <w:t>附件3  </w:t>
      </w:r>
      <w:r>
        <w:rPr>
          <w:rStyle w:val="18"/>
          <w:rFonts w:hint="eastAsia" w:ascii="宋体" w:hAnsi="宋体" w:cs="宋体"/>
          <w:color w:val="auto"/>
          <w:sz w:val="21"/>
          <w:szCs w:val="21"/>
          <w:highlight w:val="none"/>
        </w:rPr>
        <w:t>资格证明文件</w:t>
      </w:r>
      <w:bookmarkEnd w:id="26"/>
    </w:p>
    <w:p>
      <w:pPr>
        <w:pStyle w:val="12"/>
        <w:widowControl/>
        <w:spacing w:before="75" w:beforeAutospacing="0" w:after="75" w:afterAutospacing="0" w:line="465" w:lineRule="atLeast"/>
        <w:jc w:val="center"/>
        <w:rPr>
          <w:rFonts w:ascii="宋体" w:hAnsi="宋体" w:cs="宋体"/>
          <w:color w:val="auto"/>
          <w:sz w:val="21"/>
          <w:szCs w:val="21"/>
          <w:highlight w:val="none"/>
        </w:rPr>
      </w:pPr>
      <w:bookmarkStart w:id="27" w:name="_Toc8111_WPSOffice_Level1"/>
      <w:r>
        <w:rPr>
          <w:rFonts w:hint="eastAsia" w:ascii="宋体" w:hAnsi="宋体" w:cs="宋体"/>
          <w:b/>
          <w:bCs/>
          <w:color w:val="auto"/>
          <w:sz w:val="21"/>
          <w:szCs w:val="21"/>
          <w:highlight w:val="none"/>
        </w:rPr>
        <w:t>附件3-1   </w:t>
      </w:r>
      <w:r>
        <w:rPr>
          <w:rStyle w:val="18"/>
          <w:rFonts w:hint="eastAsia" w:ascii="宋体" w:hAnsi="宋体" w:cs="宋体"/>
          <w:color w:val="auto"/>
          <w:sz w:val="21"/>
          <w:szCs w:val="21"/>
          <w:highlight w:val="none"/>
        </w:rPr>
        <w:t>参加竞争性磋商的声明函</w:t>
      </w:r>
      <w:bookmarkEnd w:id="27"/>
    </w:p>
    <w:p>
      <w:pPr>
        <w:pStyle w:val="12"/>
        <w:widowControl/>
        <w:spacing w:before="75" w:beforeAutospacing="0" w:after="75" w:afterAutospacing="0" w:line="435" w:lineRule="atLeast"/>
        <w:rPr>
          <w:rFonts w:ascii="宋体" w:hAnsi="宋体" w:cs="宋体"/>
          <w:color w:val="auto"/>
          <w:sz w:val="21"/>
          <w:szCs w:val="21"/>
          <w:highlight w:val="none"/>
        </w:rPr>
      </w:pPr>
      <w:r>
        <w:rPr>
          <w:rFonts w:hint="eastAsia" w:ascii="宋体" w:hAnsi="宋体" w:cs="宋体"/>
          <w:color w:val="auto"/>
          <w:sz w:val="21"/>
          <w:szCs w:val="21"/>
          <w:highlight w:val="none"/>
        </w:rPr>
        <w:t> </w:t>
      </w:r>
    </w:p>
    <w:p>
      <w:pPr>
        <w:pStyle w:val="12"/>
        <w:widowControl/>
        <w:spacing w:before="75" w:beforeAutospacing="0" w:after="75" w:afterAutospacing="0" w:line="435" w:lineRule="atLeast"/>
        <w:rPr>
          <w:rFonts w:ascii="宋体" w:hAnsi="宋体" w:cs="宋体"/>
          <w:color w:val="auto"/>
          <w:sz w:val="21"/>
          <w:szCs w:val="21"/>
          <w:highlight w:val="none"/>
        </w:rPr>
      </w:pPr>
      <w:r>
        <w:rPr>
          <w:rFonts w:hint="eastAsia" w:ascii="宋体" w:hAnsi="宋体" w:cs="宋体"/>
          <w:color w:val="auto"/>
          <w:sz w:val="21"/>
          <w:szCs w:val="21"/>
          <w:highlight w:val="none"/>
        </w:rPr>
        <w:t>致：</w:t>
      </w:r>
      <w:r>
        <w:rPr>
          <w:rFonts w:hint="eastAsia" w:ascii="宋体" w:hAnsi="宋体" w:cs="宋体"/>
          <w:color w:val="auto"/>
          <w:sz w:val="21"/>
          <w:szCs w:val="21"/>
          <w:highlight w:val="none"/>
          <w:u w:val="single"/>
        </w:rPr>
        <w:t>宁德市有信产权交易服务有限公司 </w:t>
      </w:r>
      <w:r>
        <w:rPr>
          <w:rFonts w:hint="eastAsia" w:ascii="宋体" w:hAnsi="宋体" w:cs="宋体"/>
          <w:color w:val="auto"/>
          <w:sz w:val="21"/>
          <w:szCs w:val="21"/>
          <w:highlight w:val="none"/>
        </w:rPr>
        <w:t> </w:t>
      </w:r>
    </w:p>
    <w:p>
      <w:pPr>
        <w:pStyle w:val="12"/>
        <w:widowControl/>
        <w:spacing w:before="75" w:beforeAutospacing="0" w:after="75" w:afterAutospacing="0" w:line="435" w:lineRule="atLeast"/>
        <w:jc w:val="both"/>
        <w:rPr>
          <w:rFonts w:ascii="宋体" w:hAnsi="宋体" w:cs="宋体"/>
          <w:color w:val="auto"/>
          <w:sz w:val="21"/>
          <w:szCs w:val="21"/>
          <w:highlight w:val="none"/>
        </w:rPr>
      </w:pPr>
      <w:r>
        <w:rPr>
          <w:rFonts w:hint="eastAsia" w:ascii="宋体" w:hAnsi="宋体" w:cs="宋体"/>
          <w:color w:val="auto"/>
          <w:sz w:val="21"/>
          <w:szCs w:val="21"/>
          <w:highlight w:val="none"/>
        </w:rPr>
        <w:t xml:space="preserve">    1、关于贵方______年______月______日</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项目（项目编号:</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的采购公告（或采购邀请），本签字人代表供应商参加竞争性磋商，我方提供竞争性磋商文件中规定的相应资料和说明。本签字人确认响应文件中所有提交的文件、声明或资料（包括但不限于资格证明文件）是真实的、合法的、准确的、有效的。</w:t>
      </w:r>
    </w:p>
    <w:p>
      <w:pPr>
        <w:pStyle w:val="12"/>
        <w:widowControl/>
        <w:spacing w:before="75" w:beforeAutospacing="0" w:after="75" w:afterAutospacing="0" w:line="435" w:lineRule="atLeast"/>
        <w:rPr>
          <w:rFonts w:ascii="宋体" w:hAnsi="宋体" w:cs="宋体"/>
          <w:color w:val="auto"/>
          <w:sz w:val="21"/>
          <w:szCs w:val="21"/>
          <w:highlight w:val="none"/>
        </w:rPr>
      </w:pPr>
      <w:r>
        <w:rPr>
          <w:rFonts w:hint="eastAsia" w:ascii="宋体" w:hAnsi="宋体" w:cs="宋体"/>
          <w:color w:val="auto"/>
          <w:sz w:val="21"/>
          <w:szCs w:val="21"/>
          <w:highlight w:val="none"/>
        </w:rPr>
        <w:t>  2、供应商的基本概况：</w:t>
      </w:r>
    </w:p>
    <w:p>
      <w:pPr>
        <w:pStyle w:val="12"/>
        <w:widowControl/>
        <w:spacing w:before="75" w:beforeAutospacing="0" w:after="75" w:afterAutospacing="0" w:line="435" w:lineRule="atLeast"/>
        <w:rPr>
          <w:rFonts w:ascii="宋体" w:hAnsi="宋体" w:cs="宋体"/>
          <w:color w:val="auto"/>
          <w:sz w:val="21"/>
          <w:szCs w:val="21"/>
          <w:highlight w:val="none"/>
          <w:u w:val="single"/>
        </w:rPr>
      </w:pPr>
      <w:r>
        <w:rPr>
          <w:rFonts w:hint="eastAsia" w:ascii="宋体" w:hAnsi="宋体" w:cs="宋体"/>
          <w:color w:val="auto"/>
          <w:sz w:val="21"/>
          <w:szCs w:val="21"/>
          <w:highlight w:val="none"/>
        </w:rPr>
        <w:t>2.1供应商单位名称：</w:t>
      </w:r>
      <w:r>
        <w:rPr>
          <w:rFonts w:hint="eastAsia" w:ascii="宋体" w:hAnsi="宋体" w:cs="宋体"/>
          <w:color w:val="auto"/>
          <w:sz w:val="21"/>
          <w:szCs w:val="21"/>
          <w:highlight w:val="none"/>
          <w:u w:val="single"/>
        </w:rPr>
        <w:t>                               </w:t>
      </w:r>
    </w:p>
    <w:p>
      <w:pPr>
        <w:pStyle w:val="12"/>
        <w:widowControl/>
        <w:spacing w:before="75" w:beforeAutospacing="0" w:after="75" w:afterAutospacing="0" w:line="435" w:lineRule="atLeast"/>
        <w:rPr>
          <w:rFonts w:ascii="宋体" w:hAnsi="宋体" w:cs="宋体"/>
          <w:color w:val="auto"/>
          <w:sz w:val="21"/>
          <w:szCs w:val="21"/>
          <w:highlight w:val="none"/>
          <w:u w:val="single"/>
        </w:rPr>
      </w:pPr>
      <w:r>
        <w:rPr>
          <w:rFonts w:hint="eastAsia" w:ascii="宋体" w:hAnsi="宋体" w:cs="宋体"/>
          <w:color w:val="auto"/>
          <w:sz w:val="21"/>
          <w:szCs w:val="21"/>
          <w:highlight w:val="none"/>
        </w:rPr>
        <w:t>2.2注册地址：</w:t>
      </w:r>
      <w:r>
        <w:rPr>
          <w:rFonts w:hint="eastAsia" w:ascii="宋体" w:hAnsi="宋体" w:cs="宋体"/>
          <w:color w:val="auto"/>
          <w:sz w:val="21"/>
          <w:szCs w:val="21"/>
          <w:highlight w:val="none"/>
          <w:u w:val="single"/>
        </w:rPr>
        <w:t>                                             </w:t>
      </w:r>
    </w:p>
    <w:p>
      <w:pPr>
        <w:pStyle w:val="12"/>
        <w:widowControl/>
        <w:spacing w:before="75" w:beforeAutospacing="0" w:after="75" w:afterAutospacing="0" w:line="435" w:lineRule="atLeast"/>
        <w:rPr>
          <w:rFonts w:ascii="宋体" w:hAnsi="宋体" w:cs="宋体"/>
          <w:color w:val="auto"/>
          <w:sz w:val="21"/>
          <w:szCs w:val="21"/>
          <w:highlight w:val="none"/>
        </w:rPr>
      </w:pPr>
      <w:r>
        <w:rPr>
          <w:rFonts w:hint="eastAsia" w:ascii="宋体" w:hAnsi="宋体" w:cs="宋体"/>
          <w:color w:val="auto"/>
          <w:sz w:val="21"/>
          <w:szCs w:val="21"/>
          <w:highlight w:val="none"/>
        </w:rPr>
        <w:t>2.3单位负责人姓名：</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性别：</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年龄：</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职务：</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w:t>
      </w:r>
    </w:p>
    <w:p>
      <w:pPr>
        <w:pStyle w:val="12"/>
        <w:widowControl/>
        <w:spacing w:before="75" w:beforeAutospacing="0" w:after="75" w:afterAutospacing="0" w:line="435" w:lineRule="atLeast"/>
        <w:ind w:firstLine="480"/>
        <w:rPr>
          <w:rFonts w:ascii="宋体" w:hAnsi="宋体" w:cs="宋体"/>
          <w:color w:val="auto"/>
          <w:sz w:val="21"/>
          <w:szCs w:val="21"/>
          <w:highlight w:val="none"/>
        </w:rPr>
      </w:pPr>
      <w:r>
        <w:rPr>
          <w:rFonts w:hint="eastAsia" w:ascii="宋体" w:hAnsi="宋体" w:cs="宋体"/>
          <w:color w:val="auto"/>
          <w:sz w:val="21"/>
          <w:szCs w:val="21"/>
          <w:highlight w:val="none"/>
        </w:rPr>
        <w:t>备注：“单位负责人”指单位法定代表人（供应商为法人的）或法律、法规规定代表单位行使职权的主要负责人（供应商为其他组织的）。</w:t>
      </w:r>
    </w:p>
    <w:p>
      <w:pPr>
        <w:pStyle w:val="12"/>
        <w:widowControl/>
        <w:spacing w:before="75" w:beforeAutospacing="0" w:after="75" w:afterAutospacing="0" w:line="435" w:lineRule="atLeast"/>
        <w:ind w:firstLine="480"/>
        <w:rPr>
          <w:rFonts w:ascii="宋体" w:hAnsi="宋体" w:cs="宋体"/>
          <w:color w:val="auto"/>
          <w:sz w:val="21"/>
          <w:szCs w:val="21"/>
          <w:highlight w:val="none"/>
        </w:rPr>
      </w:pPr>
      <w:r>
        <w:rPr>
          <w:rFonts w:hint="eastAsia" w:ascii="宋体" w:hAnsi="宋体" w:cs="宋体"/>
          <w:color w:val="auto"/>
          <w:sz w:val="21"/>
          <w:szCs w:val="21"/>
          <w:highlight w:val="none"/>
        </w:rPr>
        <w:t>对于接受联合体形式的磋商且供应商是联合体的，则联合体各成员都应当提交本资格证明文件。</w:t>
      </w:r>
    </w:p>
    <w:p>
      <w:pPr>
        <w:pStyle w:val="12"/>
        <w:widowControl/>
        <w:spacing w:before="75" w:beforeAutospacing="0" w:after="75" w:afterAutospacing="0" w:line="435" w:lineRule="atLeast"/>
        <w:rPr>
          <w:rFonts w:ascii="宋体" w:hAnsi="宋体" w:cs="宋体"/>
          <w:color w:val="auto"/>
          <w:sz w:val="21"/>
          <w:szCs w:val="21"/>
          <w:highlight w:val="none"/>
        </w:rPr>
      </w:pPr>
      <w:r>
        <w:rPr>
          <w:rFonts w:hint="eastAsia" w:ascii="宋体" w:hAnsi="宋体" w:cs="宋体"/>
          <w:color w:val="auto"/>
          <w:sz w:val="21"/>
          <w:szCs w:val="21"/>
          <w:highlight w:val="none"/>
        </w:rPr>
        <w:t> </w:t>
      </w:r>
    </w:p>
    <w:p>
      <w:pPr>
        <w:pStyle w:val="12"/>
        <w:widowControl/>
        <w:spacing w:before="75" w:beforeAutospacing="0" w:after="75" w:afterAutospacing="0" w:line="435" w:lineRule="atLeast"/>
        <w:rPr>
          <w:rFonts w:ascii="宋体" w:hAnsi="宋体" w:cs="宋体"/>
          <w:color w:val="auto"/>
          <w:sz w:val="21"/>
          <w:szCs w:val="21"/>
          <w:highlight w:val="none"/>
        </w:rPr>
      </w:pPr>
      <w:r>
        <w:rPr>
          <w:rFonts w:hint="eastAsia" w:ascii="宋体" w:hAnsi="宋体" w:cs="宋体"/>
          <w:color w:val="auto"/>
          <w:sz w:val="21"/>
          <w:szCs w:val="21"/>
          <w:highlight w:val="none"/>
        </w:rPr>
        <w:t> </w:t>
      </w:r>
    </w:p>
    <w:p>
      <w:pPr>
        <w:pStyle w:val="12"/>
        <w:widowControl/>
        <w:spacing w:before="75" w:beforeAutospacing="0" w:after="75" w:afterAutospacing="0" w:line="435" w:lineRule="atLeast"/>
        <w:jc w:val="both"/>
        <w:rPr>
          <w:rFonts w:ascii="宋体" w:hAnsi="宋体" w:cs="宋体"/>
          <w:color w:val="auto"/>
          <w:sz w:val="21"/>
          <w:szCs w:val="21"/>
          <w:highlight w:val="none"/>
        </w:rPr>
      </w:pPr>
      <w:r>
        <w:rPr>
          <w:rFonts w:hint="eastAsia" w:ascii="宋体" w:hAnsi="宋体" w:cs="宋体"/>
          <w:color w:val="auto"/>
          <w:sz w:val="21"/>
          <w:szCs w:val="21"/>
          <w:highlight w:val="none"/>
        </w:rPr>
        <w:t>供应商代表：</w:t>
      </w:r>
      <w:r>
        <w:rPr>
          <w:rFonts w:hint="eastAsia" w:ascii="宋体" w:hAnsi="宋体" w:cs="宋体"/>
          <w:color w:val="auto"/>
          <w:sz w:val="21"/>
          <w:szCs w:val="21"/>
          <w:highlight w:val="none"/>
          <w:u w:val="single"/>
        </w:rPr>
        <w:t>             （签字） </w:t>
      </w:r>
    </w:p>
    <w:p>
      <w:pPr>
        <w:pStyle w:val="12"/>
        <w:widowControl/>
        <w:spacing w:before="75" w:beforeAutospacing="0" w:after="75" w:afterAutospacing="0" w:line="435" w:lineRule="atLeast"/>
        <w:jc w:val="both"/>
        <w:rPr>
          <w:rFonts w:ascii="宋体" w:hAnsi="宋体" w:cs="宋体"/>
          <w:color w:val="auto"/>
          <w:sz w:val="21"/>
          <w:szCs w:val="21"/>
          <w:highlight w:val="none"/>
        </w:rPr>
      </w:pPr>
      <w:r>
        <w:rPr>
          <w:rFonts w:hint="eastAsia" w:ascii="宋体" w:hAnsi="宋体" w:cs="宋体"/>
          <w:color w:val="auto"/>
          <w:sz w:val="21"/>
          <w:szCs w:val="21"/>
          <w:highlight w:val="none"/>
        </w:rPr>
        <w:t>供应商名称：</w:t>
      </w:r>
      <w:r>
        <w:rPr>
          <w:rFonts w:hint="eastAsia" w:ascii="宋体" w:hAnsi="宋体" w:cs="宋体"/>
          <w:color w:val="auto"/>
          <w:sz w:val="21"/>
          <w:szCs w:val="21"/>
          <w:highlight w:val="none"/>
          <w:u w:val="single"/>
        </w:rPr>
        <w:t>         （全称并加盖公章）              .</w:t>
      </w:r>
    </w:p>
    <w:p>
      <w:pPr>
        <w:pStyle w:val="12"/>
        <w:widowControl/>
        <w:spacing w:before="75" w:beforeAutospacing="0" w:after="75" w:afterAutospacing="0" w:line="435" w:lineRule="atLeast"/>
        <w:rPr>
          <w:rFonts w:ascii="宋体" w:hAnsi="宋体" w:cs="宋体"/>
          <w:color w:val="auto"/>
          <w:sz w:val="21"/>
          <w:szCs w:val="21"/>
          <w:highlight w:val="none"/>
        </w:rPr>
      </w:pPr>
      <w:r>
        <w:rPr>
          <w:rFonts w:hint="eastAsia" w:ascii="宋体" w:hAnsi="宋体" w:cs="宋体"/>
          <w:color w:val="auto"/>
          <w:sz w:val="21"/>
          <w:szCs w:val="21"/>
          <w:highlight w:val="none"/>
        </w:rPr>
        <w:t>日  期： </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年 </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月 </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日</w:t>
      </w:r>
    </w:p>
    <w:p>
      <w:pPr>
        <w:pStyle w:val="12"/>
        <w:widowControl/>
        <w:spacing w:before="75" w:beforeAutospacing="0" w:after="75" w:afterAutospacing="0" w:line="435" w:lineRule="atLeast"/>
        <w:rPr>
          <w:rFonts w:ascii="宋体" w:hAnsi="宋体" w:cs="宋体"/>
          <w:color w:val="auto"/>
          <w:sz w:val="21"/>
          <w:szCs w:val="21"/>
          <w:highlight w:val="none"/>
        </w:rPr>
      </w:pPr>
      <w:r>
        <w:rPr>
          <w:rFonts w:hint="eastAsia" w:ascii="宋体" w:hAnsi="宋体" w:cs="宋体"/>
          <w:color w:val="auto"/>
          <w:sz w:val="21"/>
          <w:szCs w:val="21"/>
          <w:highlight w:val="none"/>
        </w:rPr>
        <w:t> </w:t>
      </w:r>
    </w:p>
    <w:p>
      <w:pPr>
        <w:pStyle w:val="12"/>
        <w:widowControl/>
        <w:spacing w:before="75" w:beforeAutospacing="0" w:after="75" w:afterAutospacing="0"/>
        <w:rPr>
          <w:rFonts w:ascii="宋体" w:hAnsi="宋体" w:cs="宋体"/>
          <w:color w:val="auto"/>
          <w:sz w:val="21"/>
          <w:szCs w:val="21"/>
          <w:highlight w:val="none"/>
        </w:rPr>
      </w:pPr>
      <w:r>
        <w:rPr>
          <w:rFonts w:hint="eastAsia" w:ascii="宋体" w:hAnsi="宋体" w:cs="宋体"/>
          <w:color w:val="auto"/>
          <w:sz w:val="21"/>
          <w:szCs w:val="21"/>
          <w:highlight w:val="none"/>
        </w:rPr>
        <w:t>                            </w:t>
      </w:r>
    </w:p>
    <w:p>
      <w:pPr>
        <w:pStyle w:val="12"/>
        <w:widowControl/>
        <w:spacing w:before="75" w:beforeAutospacing="0" w:after="75" w:afterAutospacing="0" w:line="375" w:lineRule="atLeast"/>
        <w:rPr>
          <w:rFonts w:ascii="宋体" w:hAnsi="宋体" w:cs="宋体"/>
          <w:color w:val="auto"/>
          <w:sz w:val="21"/>
          <w:szCs w:val="21"/>
          <w:highlight w:val="none"/>
        </w:rPr>
      </w:pPr>
      <w:r>
        <w:rPr>
          <w:rFonts w:hint="eastAsia" w:ascii="宋体" w:hAnsi="宋体" w:cs="宋体"/>
          <w:color w:val="auto"/>
          <w:sz w:val="21"/>
          <w:szCs w:val="21"/>
          <w:highlight w:val="none"/>
        </w:rPr>
        <w:t> </w:t>
      </w:r>
    </w:p>
    <w:p>
      <w:pPr>
        <w:pStyle w:val="12"/>
        <w:widowControl/>
        <w:spacing w:before="75" w:beforeAutospacing="0" w:after="75" w:afterAutospacing="0" w:line="375" w:lineRule="atLeast"/>
        <w:rPr>
          <w:rFonts w:ascii="宋体" w:hAnsi="宋体" w:cs="宋体"/>
          <w:color w:val="auto"/>
          <w:sz w:val="21"/>
          <w:szCs w:val="21"/>
          <w:highlight w:val="none"/>
        </w:rPr>
      </w:pPr>
    </w:p>
    <w:p>
      <w:pPr>
        <w:pStyle w:val="12"/>
        <w:widowControl/>
        <w:spacing w:before="75" w:beforeAutospacing="0" w:after="75" w:afterAutospacing="0" w:line="375" w:lineRule="atLeast"/>
        <w:jc w:val="center"/>
        <w:rPr>
          <w:rFonts w:ascii="宋体" w:hAnsi="宋体" w:cs="宋体"/>
          <w:color w:val="auto"/>
          <w:sz w:val="21"/>
          <w:szCs w:val="21"/>
          <w:highlight w:val="none"/>
        </w:rPr>
      </w:pPr>
      <w:r>
        <w:rPr>
          <w:rFonts w:hint="eastAsia" w:ascii="宋体" w:hAnsi="宋体" w:cs="宋体"/>
          <w:color w:val="auto"/>
          <w:sz w:val="21"/>
          <w:szCs w:val="21"/>
          <w:highlight w:val="none"/>
        </w:rPr>
        <w:br w:type="page"/>
      </w:r>
      <w:r>
        <w:rPr>
          <w:rFonts w:hint="eastAsia" w:ascii="宋体" w:hAnsi="宋体" w:cs="宋体"/>
          <w:b/>
          <w:bCs/>
          <w:color w:val="auto"/>
          <w:sz w:val="21"/>
          <w:szCs w:val="21"/>
          <w:highlight w:val="none"/>
        </w:rPr>
        <w:t>附件3-2   </w:t>
      </w:r>
      <w:r>
        <w:rPr>
          <w:rStyle w:val="18"/>
          <w:rFonts w:hint="eastAsia" w:ascii="宋体" w:hAnsi="宋体" w:cs="宋体"/>
          <w:bCs/>
          <w:color w:val="auto"/>
          <w:sz w:val="21"/>
          <w:szCs w:val="21"/>
          <w:highlight w:val="none"/>
        </w:rPr>
        <w:t>供应商的资格声明</w:t>
      </w:r>
    </w:p>
    <w:p>
      <w:pPr>
        <w:pStyle w:val="12"/>
        <w:widowControl/>
        <w:spacing w:before="75" w:beforeAutospacing="0" w:after="75" w:afterAutospacing="0" w:line="375" w:lineRule="atLeast"/>
        <w:jc w:val="both"/>
        <w:rPr>
          <w:rFonts w:ascii="宋体" w:hAnsi="宋体" w:cs="宋体"/>
          <w:color w:val="auto"/>
          <w:sz w:val="21"/>
          <w:szCs w:val="21"/>
          <w:highlight w:val="none"/>
        </w:rPr>
      </w:pPr>
      <w:r>
        <w:rPr>
          <w:rFonts w:hint="eastAsia" w:ascii="宋体" w:hAnsi="宋体" w:cs="宋体"/>
          <w:color w:val="auto"/>
          <w:sz w:val="21"/>
          <w:szCs w:val="21"/>
          <w:highlight w:val="none"/>
        </w:rPr>
        <w:t> </w:t>
      </w:r>
    </w:p>
    <w:p>
      <w:pPr>
        <w:pStyle w:val="12"/>
        <w:widowControl/>
        <w:spacing w:before="75" w:beforeAutospacing="0" w:after="75" w:afterAutospacing="0" w:line="375" w:lineRule="atLeast"/>
        <w:jc w:val="both"/>
        <w:rPr>
          <w:rFonts w:ascii="宋体" w:hAnsi="宋体" w:cs="宋体"/>
          <w:color w:val="auto"/>
          <w:sz w:val="21"/>
          <w:szCs w:val="21"/>
          <w:highlight w:val="none"/>
        </w:rPr>
      </w:pPr>
      <w:r>
        <w:rPr>
          <w:rFonts w:hint="eastAsia" w:ascii="宋体" w:hAnsi="宋体" w:cs="宋体"/>
          <w:color w:val="auto"/>
          <w:sz w:val="21"/>
          <w:szCs w:val="21"/>
          <w:highlight w:val="none"/>
        </w:rPr>
        <w:t>致：</w:t>
      </w:r>
      <w:r>
        <w:rPr>
          <w:rFonts w:hint="eastAsia" w:ascii="宋体" w:hAnsi="宋体" w:cs="宋体"/>
          <w:color w:val="auto"/>
          <w:sz w:val="21"/>
          <w:szCs w:val="21"/>
          <w:highlight w:val="none"/>
          <w:u w:val="single"/>
        </w:rPr>
        <w:t>宁德市有信产权交易服务有限公司</w:t>
      </w:r>
    </w:p>
    <w:p>
      <w:pPr>
        <w:pStyle w:val="12"/>
        <w:widowControl/>
        <w:spacing w:before="75" w:beforeAutospacing="0" w:after="75" w:afterAutospacing="0" w:line="375" w:lineRule="atLeast"/>
        <w:jc w:val="both"/>
        <w:rPr>
          <w:rFonts w:ascii="宋体" w:hAnsi="宋体" w:cs="宋体"/>
          <w:color w:val="auto"/>
          <w:sz w:val="21"/>
          <w:szCs w:val="21"/>
          <w:highlight w:val="none"/>
        </w:rPr>
      </w:pPr>
      <w:r>
        <w:rPr>
          <w:rStyle w:val="18"/>
          <w:rFonts w:hint="eastAsia" w:ascii="宋体" w:hAnsi="宋体" w:cs="宋体"/>
          <w:color w:val="auto"/>
          <w:sz w:val="21"/>
          <w:szCs w:val="21"/>
          <w:highlight w:val="none"/>
        </w:rPr>
        <w:t> </w:t>
      </w:r>
    </w:p>
    <w:p>
      <w:pPr>
        <w:pStyle w:val="12"/>
        <w:widowControl/>
        <w:spacing w:before="75" w:beforeAutospacing="0" w:after="75" w:afterAutospacing="0" w:line="375" w:lineRule="atLeast"/>
        <w:jc w:val="both"/>
        <w:rPr>
          <w:rFonts w:ascii="宋体" w:hAnsi="宋体" w:cs="宋体"/>
          <w:color w:val="auto"/>
          <w:sz w:val="21"/>
          <w:szCs w:val="21"/>
          <w:highlight w:val="none"/>
        </w:rPr>
      </w:pPr>
      <w:r>
        <w:rPr>
          <w:rStyle w:val="18"/>
          <w:rFonts w:hint="eastAsia" w:ascii="宋体" w:hAnsi="宋体" w:cs="宋体"/>
          <w:color w:val="auto"/>
          <w:sz w:val="21"/>
          <w:szCs w:val="21"/>
          <w:highlight w:val="none"/>
        </w:rPr>
        <w:t>    1、</w:t>
      </w:r>
      <w:r>
        <w:rPr>
          <w:rFonts w:hint="eastAsia" w:ascii="宋体" w:hAnsi="宋体" w:cs="宋体"/>
          <w:color w:val="auto"/>
          <w:sz w:val="21"/>
          <w:szCs w:val="21"/>
          <w:highlight w:val="none"/>
        </w:rPr>
        <w:t>我方已知晓竞争性磋商文件要求并认真审核自身情况，在此郑重声明，我方具备并满足下列各项条款的规定。本声明如有虚假或不实之处，我方将失去合格供应商资格且我方的磋商保证金将不予退还。</w:t>
      </w:r>
    </w:p>
    <w:tbl>
      <w:tblPr>
        <w:tblStyle w:val="15"/>
        <w:tblW w:w="0" w:type="auto"/>
        <w:tblCellSpacing w:w="15" w:type="dxa"/>
        <w:tblInd w:w="-15"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15" w:type="dxa"/>
          <w:left w:w="15" w:type="dxa"/>
          <w:bottom w:w="15" w:type="dxa"/>
          <w:right w:w="15" w:type="dxa"/>
        </w:tblCellMar>
      </w:tblPr>
      <w:tblGrid>
        <w:gridCol w:w="6790"/>
        <w:gridCol w:w="3490"/>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671" w:hRule="atLeast"/>
          <w:tblCellSpacing w:w="15" w:type="dxa"/>
        </w:trPr>
        <w:tc>
          <w:tcPr>
            <w:tcW w:w="6745" w:type="dxa"/>
            <w:tcBorders>
              <w:top w:val="nil"/>
              <w:left w:val="nil"/>
              <w:bottom w:val="nil"/>
              <w:right w:val="nil"/>
            </w:tcBorders>
            <w:tcMar>
              <w:top w:w="0" w:type="dxa"/>
              <w:left w:w="105" w:type="dxa"/>
              <w:bottom w:w="0" w:type="dxa"/>
              <w:right w:w="105" w:type="dxa"/>
            </w:tcMar>
            <w:vAlign w:val="center"/>
          </w:tcPr>
          <w:p>
            <w:pPr>
              <w:pStyle w:val="12"/>
              <w:keepNext w:val="0"/>
              <w:keepLines w:val="0"/>
              <w:widowControl/>
              <w:suppressLineNumbers w:val="0"/>
              <w:spacing w:before="0" w:beforeAutospacing="0" w:after="0" w:afterAutospacing="0" w:line="375" w:lineRule="atLeast"/>
              <w:ind w:left="0" w:right="0"/>
              <w:jc w:val="both"/>
              <w:rPr>
                <w:rFonts w:hint="default" w:ascii="宋体" w:hAnsi="宋体" w:cs="宋体"/>
                <w:color w:val="auto"/>
                <w:sz w:val="21"/>
                <w:szCs w:val="21"/>
                <w:highlight w:val="none"/>
              </w:rPr>
            </w:pPr>
            <w:r>
              <w:rPr>
                <w:rStyle w:val="18"/>
                <w:rFonts w:hint="eastAsia" w:ascii="宋体" w:hAnsi="宋体" w:cs="宋体"/>
                <w:color w:val="auto"/>
                <w:sz w:val="21"/>
                <w:szCs w:val="21"/>
                <w:highlight w:val="none"/>
              </w:rPr>
              <w:t>《中华人民共和国政府采购法》第二十二条对供应商的要求</w:t>
            </w:r>
          </w:p>
        </w:tc>
        <w:tc>
          <w:tcPr>
            <w:tcW w:w="3445" w:type="dxa"/>
            <w:tcBorders>
              <w:top w:val="nil"/>
              <w:left w:val="nil"/>
              <w:bottom w:val="nil"/>
              <w:right w:val="nil"/>
            </w:tcBorders>
            <w:tcMar>
              <w:top w:w="0" w:type="dxa"/>
              <w:left w:w="105" w:type="dxa"/>
              <w:bottom w:w="0" w:type="dxa"/>
              <w:right w:w="105" w:type="dxa"/>
            </w:tcMar>
            <w:vAlign w:val="center"/>
          </w:tcPr>
          <w:p>
            <w:pPr>
              <w:pStyle w:val="12"/>
              <w:keepNext w:val="0"/>
              <w:keepLines w:val="0"/>
              <w:widowControl/>
              <w:suppressLineNumbers w:val="0"/>
              <w:spacing w:before="0" w:beforeAutospacing="0" w:after="0" w:afterAutospacing="0" w:line="375" w:lineRule="atLeast"/>
              <w:ind w:left="0" w:right="0"/>
              <w:jc w:val="both"/>
              <w:rPr>
                <w:rFonts w:hint="default" w:ascii="宋体" w:hAnsi="宋体" w:cs="宋体"/>
                <w:color w:val="auto"/>
                <w:sz w:val="21"/>
                <w:szCs w:val="21"/>
                <w:highlight w:val="none"/>
              </w:rPr>
            </w:pPr>
            <w:r>
              <w:rPr>
                <w:rStyle w:val="18"/>
                <w:rFonts w:hint="eastAsia" w:ascii="宋体" w:hAnsi="宋体" w:cs="宋体"/>
                <w:color w:val="auto"/>
                <w:sz w:val="21"/>
                <w:szCs w:val="21"/>
                <w:highlight w:val="none"/>
              </w:rPr>
              <w:t>供应商对是否符合要求做如实声明</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336" w:hRule="atLeast"/>
          <w:tblCellSpacing w:w="15" w:type="dxa"/>
        </w:trPr>
        <w:tc>
          <w:tcPr>
            <w:tcW w:w="6745" w:type="dxa"/>
            <w:tcBorders>
              <w:top w:val="nil"/>
              <w:left w:val="nil"/>
              <w:bottom w:val="nil"/>
              <w:right w:val="nil"/>
            </w:tcBorders>
            <w:tcMar>
              <w:top w:w="0" w:type="dxa"/>
              <w:left w:w="105" w:type="dxa"/>
              <w:bottom w:w="0" w:type="dxa"/>
              <w:right w:w="105" w:type="dxa"/>
            </w:tcMar>
            <w:vAlign w:val="center"/>
          </w:tcPr>
          <w:p>
            <w:pPr>
              <w:pStyle w:val="12"/>
              <w:keepNext w:val="0"/>
              <w:keepLines w:val="0"/>
              <w:widowControl/>
              <w:suppressLineNumbers w:val="0"/>
              <w:spacing w:before="0" w:beforeAutospacing="0" w:after="0" w:afterAutospacing="0" w:line="375" w:lineRule="atLeast"/>
              <w:ind w:left="0" w:right="0"/>
              <w:jc w:val="both"/>
              <w:rPr>
                <w:rFonts w:hint="default" w:ascii="宋体" w:hAnsi="宋体" w:cs="宋体"/>
                <w:color w:val="auto"/>
                <w:sz w:val="21"/>
                <w:szCs w:val="21"/>
                <w:highlight w:val="none"/>
              </w:rPr>
            </w:pPr>
            <w:r>
              <w:rPr>
                <w:rFonts w:hint="eastAsia" w:ascii="宋体" w:hAnsi="宋体" w:cs="宋体"/>
                <w:color w:val="auto"/>
                <w:sz w:val="21"/>
                <w:szCs w:val="21"/>
                <w:highlight w:val="none"/>
              </w:rPr>
              <w:t>（1）具有独立承担民事责任的能力</w:t>
            </w:r>
          </w:p>
        </w:tc>
        <w:tc>
          <w:tcPr>
            <w:tcW w:w="3445" w:type="dxa"/>
            <w:tcBorders>
              <w:top w:val="nil"/>
              <w:left w:val="nil"/>
              <w:bottom w:val="nil"/>
              <w:right w:val="nil"/>
            </w:tcBorders>
            <w:tcMar>
              <w:top w:w="0" w:type="dxa"/>
              <w:left w:w="105" w:type="dxa"/>
              <w:bottom w:w="0" w:type="dxa"/>
              <w:right w:w="105" w:type="dxa"/>
            </w:tcMar>
            <w:vAlign w:val="center"/>
          </w:tcPr>
          <w:p>
            <w:pPr>
              <w:keepNext w:val="0"/>
              <w:keepLines w:val="0"/>
              <w:widowControl/>
              <w:suppressLineNumbers w:val="0"/>
              <w:spacing w:before="0" w:beforeAutospacing="0" w:after="0" w:afterAutospacing="0"/>
              <w:ind w:left="0" w:right="0"/>
              <w:jc w:val="left"/>
              <w:rPr>
                <w:rFonts w:hint="default" w:ascii="宋体" w:hAnsi="宋体" w:cs="宋体"/>
                <w:color w:val="auto"/>
                <w:szCs w:val="21"/>
                <w:highlight w:val="none"/>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336" w:hRule="atLeast"/>
          <w:tblCellSpacing w:w="15" w:type="dxa"/>
        </w:trPr>
        <w:tc>
          <w:tcPr>
            <w:tcW w:w="6745" w:type="dxa"/>
            <w:tcBorders>
              <w:top w:val="nil"/>
              <w:left w:val="nil"/>
              <w:bottom w:val="nil"/>
              <w:right w:val="nil"/>
            </w:tcBorders>
            <w:tcMar>
              <w:top w:w="0" w:type="dxa"/>
              <w:left w:w="105" w:type="dxa"/>
              <w:bottom w:w="0" w:type="dxa"/>
              <w:right w:w="105" w:type="dxa"/>
            </w:tcMar>
            <w:vAlign w:val="center"/>
          </w:tcPr>
          <w:p>
            <w:pPr>
              <w:pStyle w:val="12"/>
              <w:keepNext w:val="0"/>
              <w:keepLines w:val="0"/>
              <w:widowControl/>
              <w:suppressLineNumbers w:val="0"/>
              <w:spacing w:before="0" w:beforeAutospacing="0" w:after="0" w:afterAutospacing="0" w:line="375" w:lineRule="atLeast"/>
              <w:ind w:left="0" w:right="0"/>
              <w:jc w:val="both"/>
              <w:rPr>
                <w:rFonts w:hint="default" w:ascii="宋体" w:hAnsi="宋体" w:cs="宋体"/>
                <w:color w:val="auto"/>
                <w:sz w:val="21"/>
                <w:szCs w:val="21"/>
                <w:highlight w:val="none"/>
              </w:rPr>
            </w:pPr>
            <w:r>
              <w:rPr>
                <w:rFonts w:hint="eastAsia" w:ascii="宋体" w:hAnsi="宋体" w:cs="宋体"/>
                <w:color w:val="auto"/>
                <w:sz w:val="21"/>
                <w:szCs w:val="21"/>
                <w:highlight w:val="none"/>
              </w:rPr>
              <w:t>（2）具有良好的商业信誉和健全的财务会计制度</w:t>
            </w:r>
          </w:p>
        </w:tc>
        <w:tc>
          <w:tcPr>
            <w:tcW w:w="3445" w:type="dxa"/>
            <w:tcBorders>
              <w:top w:val="nil"/>
              <w:left w:val="nil"/>
              <w:bottom w:val="nil"/>
              <w:right w:val="nil"/>
            </w:tcBorders>
            <w:tcMar>
              <w:top w:w="0" w:type="dxa"/>
              <w:left w:w="105" w:type="dxa"/>
              <w:bottom w:w="0" w:type="dxa"/>
              <w:right w:w="105" w:type="dxa"/>
            </w:tcMar>
            <w:vAlign w:val="center"/>
          </w:tcPr>
          <w:p>
            <w:pPr>
              <w:keepNext w:val="0"/>
              <w:keepLines w:val="0"/>
              <w:widowControl/>
              <w:suppressLineNumbers w:val="0"/>
              <w:spacing w:before="0" w:beforeAutospacing="0" w:after="0" w:afterAutospacing="0"/>
              <w:ind w:left="0" w:right="0"/>
              <w:jc w:val="left"/>
              <w:rPr>
                <w:rFonts w:hint="default" w:ascii="宋体" w:hAnsi="宋体" w:cs="宋体"/>
                <w:color w:val="auto"/>
                <w:szCs w:val="21"/>
                <w:highlight w:val="none"/>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336" w:hRule="atLeast"/>
          <w:tblCellSpacing w:w="15" w:type="dxa"/>
        </w:trPr>
        <w:tc>
          <w:tcPr>
            <w:tcW w:w="6745" w:type="dxa"/>
            <w:tcBorders>
              <w:top w:val="nil"/>
              <w:left w:val="nil"/>
              <w:bottom w:val="nil"/>
              <w:right w:val="nil"/>
            </w:tcBorders>
            <w:tcMar>
              <w:top w:w="0" w:type="dxa"/>
              <w:left w:w="105" w:type="dxa"/>
              <w:bottom w:w="0" w:type="dxa"/>
              <w:right w:w="105" w:type="dxa"/>
            </w:tcMar>
            <w:vAlign w:val="center"/>
          </w:tcPr>
          <w:p>
            <w:pPr>
              <w:pStyle w:val="12"/>
              <w:keepNext w:val="0"/>
              <w:keepLines w:val="0"/>
              <w:widowControl/>
              <w:suppressLineNumbers w:val="0"/>
              <w:spacing w:before="0" w:beforeAutospacing="0" w:after="0" w:afterAutospacing="0" w:line="375" w:lineRule="atLeast"/>
              <w:ind w:left="0" w:right="0"/>
              <w:jc w:val="both"/>
              <w:rPr>
                <w:rFonts w:hint="default" w:ascii="宋体" w:hAnsi="宋体" w:cs="宋体"/>
                <w:color w:val="auto"/>
                <w:sz w:val="21"/>
                <w:szCs w:val="21"/>
                <w:highlight w:val="none"/>
              </w:rPr>
            </w:pPr>
            <w:r>
              <w:rPr>
                <w:rFonts w:hint="eastAsia" w:ascii="宋体" w:hAnsi="宋体" w:cs="宋体"/>
                <w:color w:val="auto"/>
                <w:sz w:val="21"/>
                <w:szCs w:val="21"/>
                <w:highlight w:val="none"/>
              </w:rPr>
              <w:t>（3）具有履行合同所必需的设备和专业技术能力</w:t>
            </w:r>
          </w:p>
        </w:tc>
        <w:tc>
          <w:tcPr>
            <w:tcW w:w="3445" w:type="dxa"/>
            <w:tcBorders>
              <w:top w:val="nil"/>
              <w:left w:val="nil"/>
              <w:bottom w:val="nil"/>
              <w:right w:val="nil"/>
            </w:tcBorders>
            <w:tcMar>
              <w:top w:w="0" w:type="dxa"/>
              <w:left w:w="105" w:type="dxa"/>
              <w:bottom w:w="0" w:type="dxa"/>
              <w:right w:w="105" w:type="dxa"/>
            </w:tcMar>
            <w:vAlign w:val="center"/>
          </w:tcPr>
          <w:p>
            <w:pPr>
              <w:keepNext w:val="0"/>
              <w:keepLines w:val="0"/>
              <w:widowControl/>
              <w:suppressLineNumbers w:val="0"/>
              <w:spacing w:before="0" w:beforeAutospacing="0" w:after="0" w:afterAutospacing="0"/>
              <w:ind w:left="0" w:right="0"/>
              <w:jc w:val="left"/>
              <w:rPr>
                <w:rFonts w:hint="default" w:ascii="宋体" w:hAnsi="宋体" w:cs="宋体"/>
                <w:color w:val="auto"/>
                <w:szCs w:val="21"/>
                <w:highlight w:val="none"/>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336" w:hRule="atLeast"/>
          <w:tblCellSpacing w:w="15" w:type="dxa"/>
        </w:trPr>
        <w:tc>
          <w:tcPr>
            <w:tcW w:w="6745" w:type="dxa"/>
            <w:tcBorders>
              <w:top w:val="nil"/>
              <w:left w:val="nil"/>
              <w:bottom w:val="nil"/>
              <w:right w:val="nil"/>
            </w:tcBorders>
            <w:tcMar>
              <w:top w:w="0" w:type="dxa"/>
              <w:left w:w="105" w:type="dxa"/>
              <w:bottom w:w="0" w:type="dxa"/>
              <w:right w:w="105" w:type="dxa"/>
            </w:tcMar>
            <w:vAlign w:val="center"/>
          </w:tcPr>
          <w:p>
            <w:pPr>
              <w:pStyle w:val="12"/>
              <w:keepNext w:val="0"/>
              <w:keepLines w:val="0"/>
              <w:widowControl/>
              <w:suppressLineNumbers w:val="0"/>
              <w:spacing w:before="0" w:beforeAutospacing="0" w:after="0" w:afterAutospacing="0" w:line="375" w:lineRule="atLeast"/>
              <w:ind w:left="0" w:right="0"/>
              <w:jc w:val="both"/>
              <w:rPr>
                <w:rFonts w:hint="default" w:ascii="宋体" w:hAnsi="宋体" w:cs="宋体"/>
                <w:color w:val="auto"/>
                <w:sz w:val="21"/>
                <w:szCs w:val="21"/>
                <w:highlight w:val="none"/>
              </w:rPr>
            </w:pPr>
            <w:r>
              <w:rPr>
                <w:rFonts w:hint="eastAsia" w:ascii="宋体" w:hAnsi="宋体" w:cs="宋体"/>
                <w:color w:val="auto"/>
                <w:sz w:val="21"/>
                <w:szCs w:val="21"/>
                <w:highlight w:val="none"/>
              </w:rPr>
              <w:t>（4）有依法缴纳税收和社会保障资金的良好记录</w:t>
            </w:r>
          </w:p>
        </w:tc>
        <w:tc>
          <w:tcPr>
            <w:tcW w:w="3445" w:type="dxa"/>
            <w:tcBorders>
              <w:top w:val="nil"/>
              <w:left w:val="nil"/>
              <w:bottom w:val="nil"/>
              <w:right w:val="nil"/>
            </w:tcBorders>
            <w:tcMar>
              <w:top w:w="0" w:type="dxa"/>
              <w:left w:w="105" w:type="dxa"/>
              <w:bottom w:w="0" w:type="dxa"/>
              <w:right w:w="105" w:type="dxa"/>
            </w:tcMar>
            <w:vAlign w:val="center"/>
          </w:tcPr>
          <w:p>
            <w:pPr>
              <w:keepNext w:val="0"/>
              <w:keepLines w:val="0"/>
              <w:widowControl/>
              <w:suppressLineNumbers w:val="0"/>
              <w:spacing w:before="0" w:beforeAutospacing="0" w:after="0" w:afterAutospacing="0"/>
              <w:ind w:left="0" w:right="0"/>
              <w:jc w:val="left"/>
              <w:rPr>
                <w:rFonts w:hint="default" w:ascii="宋体" w:hAnsi="宋体" w:cs="宋体"/>
                <w:color w:val="auto"/>
                <w:szCs w:val="21"/>
                <w:highlight w:val="none"/>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647" w:hRule="atLeast"/>
          <w:tblCellSpacing w:w="15" w:type="dxa"/>
        </w:trPr>
        <w:tc>
          <w:tcPr>
            <w:tcW w:w="6745" w:type="dxa"/>
            <w:tcBorders>
              <w:top w:val="nil"/>
              <w:left w:val="nil"/>
              <w:bottom w:val="nil"/>
              <w:right w:val="nil"/>
            </w:tcBorders>
            <w:tcMar>
              <w:top w:w="0" w:type="dxa"/>
              <w:left w:w="105" w:type="dxa"/>
              <w:bottom w:w="0" w:type="dxa"/>
              <w:right w:w="105" w:type="dxa"/>
            </w:tcMar>
            <w:vAlign w:val="center"/>
          </w:tcPr>
          <w:p>
            <w:pPr>
              <w:pStyle w:val="12"/>
              <w:keepNext w:val="0"/>
              <w:keepLines w:val="0"/>
              <w:widowControl/>
              <w:suppressLineNumbers w:val="0"/>
              <w:spacing w:before="0" w:beforeAutospacing="0" w:after="0" w:afterAutospacing="0" w:line="375" w:lineRule="atLeast"/>
              <w:ind w:left="0" w:right="0"/>
              <w:jc w:val="both"/>
              <w:rPr>
                <w:rFonts w:hint="default" w:ascii="宋体" w:hAnsi="宋体" w:cs="宋体"/>
                <w:color w:val="auto"/>
                <w:sz w:val="21"/>
                <w:szCs w:val="21"/>
                <w:highlight w:val="none"/>
              </w:rPr>
            </w:pPr>
            <w:r>
              <w:rPr>
                <w:rFonts w:hint="eastAsia" w:ascii="宋体" w:hAnsi="宋体" w:cs="宋体"/>
                <w:color w:val="auto"/>
                <w:sz w:val="21"/>
                <w:szCs w:val="21"/>
                <w:highlight w:val="none"/>
              </w:rPr>
              <w:t>（5）参加采购活动前三年内，在经营活动中没有重大违法记录</w:t>
            </w:r>
          </w:p>
        </w:tc>
        <w:tc>
          <w:tcPr>
            <w:tcW w:w="3445" w:type="dxa"/>
            <w:tcBorders>
              <w:top w:val="nil"/>
              <w:left w:val="nil"/>
              <w:bottom w:val="nil"/>
              <w:right w:val="nil"/>
            </w:tcBorders>
            <w:tcMar>
              <w:top w:w="0" w:type="dxa"/>
              <w:left w:w="105" w:type="dxa"/>
              <w:bottom w:w="0" w:type="dxa"/>
              <w:right w:w="105" w:type="dxa"/>
            </w:tcMar>
            <w:vAlign w:val="center"/>
          </w:tcPr>
          <w:p>
            <w:pPr>
              <w:keepNext w:val="0"/>
              <w:keepLines w:val="0"/>
              <w:widowControl/>
              <w:suppressLineNumbers w:val="0"/>
              <w:spacing w:before="0" w:beforeAutospacing="0" w:after="0" w:afterAutospacing="0"/>
              <w:ind w:left="0" w:right="0"/>
              <w:jc w:val="left"/>
              <w:rPr>
                <w:rFonts w:hint="default" w:ascii="宋体" w:hAnsi="宋体" w:cs="宋体"/>
                <w:color w:val="auto"/>
                <w:szCs w:val="21"/>
                <w:highlight w:val="none"/>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336" w:hRule="atLeast"/>
          <w:tblCellSpacing w:w="15" w:type="dxa"/>
        </w:trPr>
        <w:tc>
          <w:tcPr>
            <w:tcW w:w="6745" w:type="dxa"/>
            <w:tcBorders>
              <w:top w:val="nil"/>
              <w:left w:val="nil"/>
              <w:bottom w:val="nil"/>
              <w:right w:val="nil"/>
            </w:tcBorders>
            <w:tcMar>
              <w:top w:w="0" w:type="dxa"/>
              <w:left w:w="105" w:type="dxa"/>
              <w:bottom w:w="0" w:type="dxa"/>
              <w:right w:w="105" w:type="dxa"/>
            </w:tcMar>
            <w:vAlign w:val="center"/>
          </w:tcPr>
          <w:p>
            <w:pPr>
              <w:pStyle w:val="12"/>
              <w:keepNext w:val="0"/>
              <w:keepLines w:val="0"/>
              <w:widowControl/>
              <w:suppressLineNumbers w:val="0"/>
              <w:spacing w:before="0" w:beforeAutospacing="0" w:after="0" w:afterAutospacing="0" w:line="375" w:lineRule="atLeast"/>
              <w:ind w:left="0" w:right="0"/>
              <w:jc w:val="both"/>
              <w:rPr>
                <w:rFonts w:hint="default" w:ascii="宋体" w:hAnsi="宋体" w:cs="宋体"/>
                <w:color w:val="auto"/>
                <w:sz w:val="21"/>
                <w:szCs w:val="21"/>
                <w:highlight w:val="none"/>
              </w:rPr>
            </w:pPr>
            <w:r>
              <w:rPr>
                <w:rFonts w:hint="eastAsia" w:ascii="宋体" w:hAnsi="宋体" w:cs="宋体"/>
                <w:color w:val="auto"/>
                <w:sz w:val="21"/>
                <w:szCs w:val="21"/>
                <w:highlight w:val="none"/>
              </w:rPr>
              <w:t>（6）法律、行政法规规定的其他条件。</w:t>
            </w:r>
          </w:p>
        </w:tc>
        <w:tc>
          <w:tcPr>
            <w:tcW w:w="3445" w:type="dxa"/>
            <w:tcBorders>
              <w:top w:val="nil"/>
              <w:left w:val="nil"/>
              <w:bottom w:val="nil"/>
              <w:right w:val="nil"/>
            </w:tcBorders>
            <w:tcMar>
              <w:top w:w="0" w:type="dxa"/>
              <w:left w:w="105" w:type="dxa"/>
              <w:bottom w:w="0" w:type="dxa"/>
              <w:right w:w="105" w:type="dxa"/>
            </w:tcMar>
            <w:vAlign w:val="center"/>
          </w:tcPr>
          <w:p>
            <w:pPr>
              <w:keepNext w:val="0"/>
              <w:keepLines w:val="0"/>
              <w:widowControl/>
              <w:suppressLineNumbers w:val="0"/>
              <w:spacing w:before="0" w:beforeAutospacing="0" w:after="0" w:afterAutospacing="0"/>
              <w:ind w:left="0" w:right="0"/>
              <w:jc w:val="left"/>
              <w:rPr>
                <w:rFonts w:hint="default" w:ascii="宋体" w:hAnsi="宋体" w:cs="宋体"/>
                <w:color w:val="auto"/>
                <w:szCs w:val="21"/>
                <w:highlight w:val="none"/>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647" w:hRule="atLeast"/>
          <w:tblCellSpacing w:w="15" w:type="dxa"/>
        </w:trPr>
        <w:tc>
          <w:tcPr>
            <w:tcW w:w="6745" w:type="dxa"/>
            <w:tcBorders>
              <w:top w:val="nil"/>
              <w:left w:val="nil"/>
              <w:bottom w:val="nil"/>
              <w:right w:val="nil"/>
            </w:tcBorders>
            <w:tcMar>
              <w:top w:w="0" w:type="dxa"/>
              <w:left w:w="105" w:type="dxa"/>
              <w:bottom w:w="0" w:type="dxa"/>
              <w:right w:w="105" w:type="dxa"/>
            </w:tcMar>
            <w:vAlign w:val="center"/>
          </w:tcPr>
          <w:p>
            <w:pPr>
              <w:pStyle w:val="12"/>
              <w:keepNext w:val="0"/>
              <w:keepLines w:val="0"/>
              <w:widowControl/>
              <w:suppressLineNumbers w:val="0"/>
              <w:spacing w:before="0" w:beforeAutospacing="0" w:after="0" w:afterAutospacing="0" w:line="375" w:lineRule="atLeast"/>
              <w:ind w:left="0" w:right="0"/>
              <w:jc w:val="both"/>
              <w:rPr>
                <w:rFonts w:hint="default" w:ascii="宋体" w:hAnsi="宋体" w:cs="宋体"/>
                <w:color w:val="auto"/>
                <w:sz w:val="21"/>
                <w:szCs w:val="21"/>
                <w:highlight w:val="none"/>
              </w:rPr>
            </w:pPr>
            <w:r>
              <w:rPr>
                <w:rStyle w:val="18"/>
                <w:rFonts w:hint="eastAsia" w:ascii="宋体" w:hAnsi="宋体" w:cs="宋体"/>
                <w:color w:val="auto"/>
                <w:sz w:val="21"/>
                <w:szCs w:val="21"/>
                <w:highlight w:val="none"/>
              </w:rPr>
              <w:t>磋商文件对合格供应商的一般规定</w:t>
            </w:r>
          </w:p>
        </w:tc>
        <w:tc>
          <w:tcPr>
            <w:tcW w:w="3445" w:type="dxa"/>
            <w:tcBorders>
              <w:top w:val="nil"/>
              <w:left w:val="nil"/>
              <w:bottom w:val="nil"/>
              <w:right w:val="nil"/>
            </w:tcBorders>
            <w:tcMar>
              <w:top w:w="0" w:type="dxa"/>
              <w:left w:w="105" w:type="dxa"/>
              <w:bottom w:w="0" w:type="dxa"/>
              <w:right w:w="105" w:type="dxa"/>
            </w:tcMar>
            <w:vAlign w:val="center"/>
          </w:tcPr>
          <w:p>
            <w:pPr>
              <w:pStyle w:val="12"/>
              <w:keepNext w:val="0"/>
              <w:keepLines w:val="0"/>
              <w:widowControl/>
              <w:suppressLineNumbers w:val="0"/>
              <w:spacing w:before="0" w:beforeAutospacing="0" w:after="0" w:afterAutospacing="0" w:line="375" w:lineRule="atLeast"/>
              <w:ind w:left="0" w:right="0"/>
              <w:jc w:val="both"/>
              <w:rPr>
                <w:rFonts w:hint="default" w:ascii="宋体" w:hAnsi="宋体" w:cs="宋体"/>
                <w:color w:val="auto"/>
                <w:sz w:val="21"/>
                <w:szCs w:val="21"/>
                <w:highlight w:val="none"/>
              </w:rPr>
            </w:pPr>
            <w:r>
              <w:rPr>
                <w:rStyle w:val="18"/>
                <w:rFonts w:hint="eastAsia" w:ascii="宋体" w:hAnsi="宋体" w:cs="宋体"/>
                <w:color w:val="auto"/>
                <w:sz w:val="21"/>
                <w:szCs w:val="21"/>
                <w:highlight w:val="none"/>
              </w:rPr>
              <w:t>供应商对是否违反一般规定做如实声明</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957" w:hRule="atLeast"/>
          <w:tblCellSpacing w:w="15" w:type="dxa"/>
        </w:trPr>
        <w:tc>
          <w:tcPr>
            <w:tcW w:w="6745" w:type="dxa"/>
            <w:tcBorders>
              <w:top w:val="nil"/>
              <w:left w:val="nil"/>
              <w:bottom w:val="nil"/>
              <w:right w:val="nil"/>
            </w:tcBorders>
            <w:tcMar>
              <w:top w:w="0" w:type="dxa"/>
              <w:left w:w="105" w:type="dxa"/>
              <w:bottom w:w="0" w:type="dxa"/>
              <w:right w:w="105" w:type="dxa"/>
            </w:tcMar>
            <w:vAlign w:val="center"/>
          </w:tcPr>
          <w:p>
            <w:pPr>
              <w:pStyle w:val="12"/>
              <w:keepNext w:val="0"/>
              <w:keepLines w:val="0"/>
              <w:widowControl/>
              <w:suppressLineNumbers w:val="0"/>
              <w:spacing w:before="0" w:beforeAutospacing="0" w:after="0" w:afterAutospacing="0" w:line="375" w:lineRule="atLeast"/>
              <w:ind w:left="0" w:right="0"/>
              <w:jc w:val="both"/>
              <w:rPr>
                <w:rFonts w:hint="default" w:ascii="宋体" w:hAnsi="宋体" w:cs="宋体"/>
                <w:color w:val="auto"/>
                <w:sz w:val="21"/>
                <w:szCs w:val="21"/>
                <w:highlight w:val="none"/>
              </w:rPr>
            </w:pPr>
            <w:r>
              <w:rPr>
                <w:rFonts w:hint="eastAsia" w:ascii="宋体" w:hAnsi="宋体" w:cs="宋体"/>
                <w:color w:val="auto"/>
                <w:sz w:val="21"/>
                <w:szCs w:val="21"/>
                <w:highlight w:val="none"/>
              </w:rPr>
              <w:t>供应商应当遵守中国的有关法律、法规和规章的规定，参加采购活动时已经自觉检查并按照采购相关法律规定，主动回避相应利害关系。</w:t>
            </w:r>
          </w:p>
        </w:tc>
        <w:tc>
          <w:tcPr>
            <w:tcW w:w="3445" w:type="dxa"/>
            <w:tcBorders>
              <w:top w:val="nil"/>
              <w:left w:val="nil"/>
              <w:bottom w:val="nil"/>
              <w:right w:val="nil"/>
            </w:tcBorders>
            <w:tcMar>
              <w:top w:w="0" w:type="dxa"/>
              <w:left w:w="105" w:type="dxa"/>
              <w:bottom w:w="0" w:type="dxa"/>
              <w:right w:w="105" w:type="dxa"/>
            </w:tcMar>
            <w:vAlign w:val="center"/>
          </w:tcPr>
          <w:p>
            <w:pPr>
              <w:keepNext w:val="0"/>
              <w:keepLines w:val="0"/>
              <w:widowControl/>
              <w:suppressLineNumbers w:val="0"/>
              <w:spacing w:before="0" w:beforeAutospacing="0" w:after="0" w:afterAutospacing="0"/>
              <w:ind w:left="0" w:right="0"/>
              <w:jc w:val="left"/>
              <w:rPr>
                <w:rFonts w:hint="default" w:ascii="宋体" w:hAnsi="宋体" w:cs="宋体"/>
                <w:color w:val="auto"/>
                <w:szCs w:val="21"/>
                <w:highlight w:val="none"/>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957" w:hRule="atLeast"/>
          <w:tblCellSpacing w:w="15" w:type="dxa"/>
        </w:trPr>
        <w:tc>
          <w:tcPr>
            <w:tcW w:w="6745" w:type="dxa"/>
            <w:tcBorders>
              <w:top w:val="nil"/>
              <w:left w:val="nil"/>
              <w:bottom w:val="nil"/>
              <w:right w:val="nil"/>
            </w:tcBorders>
            <w:tcMar>
              <w:top w:w="0" w:type="dxa"/>
              <w:left w:w="105" w:type="dxa"/>
              <w:bottom w:w="0" w:type="dxa"/>
              <w:right w:w="105" w:type="dxa"/>
            </w:tcMar>
            <w:vAlign w:val="center"/>
          </w:tcPr>
          <w:p>
            <w:pPr>
              <w:pStyle w:val="12"/>
              <w:keepNext w:val="0"/>
              <w:keepLines w:val="0"/>
              <w:widowControl/>
              <w:suppressLineNumbers w:val="0"/>
              <w:spacing w:before="0" w:beforeAutospacing="0" w:after="0" w:afterAutospacing="0" w:line="375" w:lineRule="atLeast"/>
              <w:ind w:left="0" w:right="0"/>
              <w:jc w:val="both"/>
              <w:rPr>
                <w:rFonts w:hint="default" w:ascii="宋体" w:hAnsi="宋体" w:cs="宋体"/>
                <w:color w:val="auto"/>
                <w:sz w:val="21"/>
                <w:szCs w:val="21"/>
                <w:highlight w:val="none"/>
              </w:rPr>
            </w:pPr>
            <w:r>
              <w:rPr>
                <w:rFonts w:hint="eastAsia" w:ascii="宋体" w:hAnsi="宋体" w:cs="宋体"/>
                <w:color w:val="auto"/>
                <w:sz w:val="21"/>
                <w:szCs w:val="21"/>
                <w:highlight w:val="none"/>
              </w:rPr>
              <w:t>为采购项目提供整体设计、规范编制或项目管理、监理、检测等服务的供应商，不得再参加该采购项目除整体设计、规范编制和项目管理、监理、检测等服务之外的其他采购活动。</w:t>
            </w:r>
          </w:p>
        </w:tc>
        <w:tc>
          <w:tcPr>
            <w:tcW w:w="3445" w:type="dxa"/>
            <w:tcBorders>
              <w:top w:val="nil"/>
              <w:left w:val="nil"/>
              <w:bottom w:val="nil"/>
              <w:right w:val="nil"/>
            </w:tcBorders>
            <w:tcMar>
              <w:top w:w="0" w:type="dxa"/>
              <w:left w:w="105" w:type="dxa"/>
              <w:bottom w:w="0" w:type="dxa"/>
              <w:right w:w="105" w:type="dxa"/>
            </w:tcMar>
            <w:vAlign w:val="center"/>
          </w:tcPr>
          <w:p>
            <w:pPr>
              <w:keepNext w:val="0"/>
              <w:keepLines w:val="0"/>
              <w:widowControl/>
              <w:suppressLineNumbers w:val="0"/>
              <w:spacing w:before="0" w:beforeAutospacing="0" w:after="0" w:afterAutospacing="0"/>
              <w:ind w:left="0" w:right="0"/>
              <w:jc w:val="left"/>
              <w:rPr>
                <w:rFonts w:hint="default" w:ascii="宋体" w:hAnsi="宋体" w:cs="宋体"/>
                <w:color w:val="auto"/>
                <w:szCs w:val="21"/>
                <w:highlight w:val="none"/>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719" w:hRule="atLeast"/>
          <w:tblCellSpacing w:w="15" w:type="dxa"/>
        </w:trPr>
        <w:tc>
          <w:tcPr>
            <w:tcW w:w="6745" w:type="dxa"/>
            <w:tcBorders>
              <w:top w:val="nil"/>
              <w:left w:val="nil"/>
              <w:bottom w:val="nil"/>
              <w:right w:val="nil"/>
            </w:tcBorders>
            <w:tcMar>
              <w:top w:w="0" w:type="dxa"/>
              <w:left w:w="105" w:type="dxa"/>
              <w:bottom w:w="0" w:type="dxa"/>
              <w:right w:w="105" w:type="dxa"/>
            </w:tcMar>
            <w:vAlign w:val="center"/>
          </w:tcPr>
          <w:p>
            <w:pPr>
              <w:pStyle w:val="12"/>
              <w:keepNext w:val="0"/>
              <w:keepLines w:val="0"/>
              <w:widowControl/>
              <w:suppressLineNumbers w:val="0"/>
              <w:spacing w:before="0" w:beforeAutospacing="0" w:after="0" w:afterAutospacing="0" w:line="375" w:lineRule="atLeast"/>
              <w:ind w:left="0" w:right="0"/>
              <w:jc w:val="both"/>
              <w:rPr>
                <w:rFonts w:hint="default" w:ascii="宋体" w:hAnsi="宋体" w:cs="宋体"/>
                <w:color w:val="auto"/>
                <w:sz w:val="21"/>
                <w:szCs w:val="21"/>
                <w:highlight w:val="none"/>
              </w:rPr>
            </w:pPr>
            <w:r>
              <w:rPr>
                <w:rFonts w:hint="eastAsia" w:ascii="宋体" w:hAnsi="宋体" w:cs="宋体"/>
                <w:color w:val="auto"/>
                <w:sz w:val="21"/>
                <w:szCs w:val="21"/>
                <w:highlight w:val="none"/>
              </w:rPr>
              <w:t>列入失信被执行人、重大税收违法案件当事人名单、政府采购严重违法失信行为记录名单的供应商，不得参加采购活动。</w:t>
            </w:r>
          </w:p>
        </w:tc>
        <w:tc>
          <w:tcPr>
            <w:tcW w:w="3445" w:type="dxa"/>
            <w:tcBorders>
              <w:top w:val="nil"/>
              <w:left w:val="nil"/>
              <w:bottom w:val="nil"/>
              <w:right w:val="nil"/>
            </w:tcBorders>
            <w:tcMar>
              <w:top w:w="0" w:type="dxa"/>
              <w:left w:w="105" w:type="dxa"/>
              <w:bottom w:w="0" w:type="dxa"/>
              <w:right w:w="105" w:type="dxa"/>
            </w:tcMar>
            <w:vAlign w:val="center"/>
          </w:tcPr>
          <w:p>
            <w:pPr>
              <w:keepNext w:val="0"/>
              <w:keepLines w:val="0"/>
              <w:widowControl/>
              <w:suppressLineNumbers w:val="0"/>
              <w:spacing w:before="0" w:beforeAutospacing="0" w:after="0" w:afterAutospacing="0"/>
              <w:ind w:left="0" w:right="0"/>
              <w:jc w:val="left"/>
              <w:rPr>
                <w:rFonts w:hint="default" w:ascii="宋体" w:hAnsi="宋体" w:cs="宋体"/>
                <w:color w:val="auto"/>
                <w:szCs w:val="21"/>
                <w:highlight w:val="none"/>
              </w:rPr>
            </w:pPr>
          </w:p>
        </w:tc>
      </w:tr>
    </w:tbl>
    <w:p>
      <w:pPr>
        <w:pStyle w:val="12"/>
        <w:widowControl/>
        <w:spacing w:before="75" w:beforeAutospacing="0" w:after="75" w:afterAutospacing="0" w:line="375" w:lineRule="atLeast"/>
        <w:ind w:firstLine="480"/>
        <w:jc w:val="both"/>
        <w:rPr>
          <w:rFonts w:ascii="宋体" w:hAnsi="宋体" w:cs="宋体"/>
          <w:color w:val="auto"/>
          <w:sz w:val="21"/>
          <w:szCs w:val="21"/>
          <w:highlight w:val="none"/>
        </w:rPr>
      </w:pPr>
      <w:r>
        <w:rPr>
          <w:rFonts w:hint="eastAsia" w:ascii="宋体" w:hAnsi="宋体" w:cs="宋体"/>
          <w:color w:val="auto"/>
          <w:sz w:val="21"/>
          <w:szCs w:val="21"/>
          <w:highlight w:val="none"/>
        </w:rPr>
        <w:t>2、我方对上述声明的真实性、合法性、准确性、有效性负责，并愿意根据磋商文件和磋商过程中贵方要求提供全部现有资料、数据、文件等予以证实。</w:t>
      </w:r>
    </w:p>
    <w:p>
      <w:pPr>
        <w:pStyle w:val="12"/>
        <w:widowControl/>
        <w:spacing w:before="75" w:beforeAutospacing="0" w:after="75" w:afterAutospacing="0" w:line="435" w:lineRule="atLeast"/>
        <w:ind w:firstLine="480"/>
        <w:rPr>
          <w:rFonts w:ascii="宋体" w:hAnsi="宋体" w:cs="宋体"/>
          <w:color w:val="auto"/>
          <w:sz w:val="21"/>
          <w:szCs w:val="21"/>
          <w:highlight w:val="none"/>
        </w:rPr>
      </w:pPr>
      <w:r>
        <w:rPr>
          <w:rFonts w:hint="eastAsia" w:ascii="宋体" w:hAnsi="宋体" w:cs="宋体"/>
          <w:color w:val="auto"/>
          <w:sz w:val="21"/>
          <w:szCs w:val="21"/>
          <w:highlight w:val="none"/>
        </w:rPr>
        <w:t>备注：对于接受联合体形式的磋商且供应商是联合体的，则联合体各成员都应当提交本资格证明文件。</w:t>
      </w:r>
    </w:p>
    <w:p>
      <w:pPr>
        <w:pStyle w:val="12"/>
        <w:widowControl/>
        <w:spacing w:before="75" w:beforeAutospacing="0" w:after="75" w:afterAutospacing="0" w:line="375" w:lineRule="atLeast"/>
        <w:jc w:val="both"/>
        <w:rPr>
          <w:rFonts w:ascii="宋体" w:hAnsi="宋体" w:cs="宋体"/>
          <w:color w:val="auto"/>
          <w:sz w:val="21"/>
          <w:szCs w:val="21"/>
          <w:highlight w:val="none"/>
        </w:rPr>
      </w:pPr>
      <w:r>
        <w:rPr>
          <w:rFonts w:hint="eastAsia" w:ascii="宋体" w:hAnsi="宋体" w:cs="宋体"/>
          <w:color w:val="auto"/>
          <w:sz w:val="21"/>
          <w:szCs w:val="21"/>
          <w:highlight w:val="none"/>
        </w:rPr>
        <w:t>供应商代表：</w:t>
      </w:r>
      <w:r>
        <w:rPr>
          <w:rFonts w:hint="eastAsia" w:ascii="宋体" w:hAnsi="宋体" w:cs="宋体"/>
          <w:color w:val="auto"/>
          <w:sz w:val="21"/>
          <w:szCs w:val="21"/>
          <w:highlight w:val="none"/>
          <w:u w:val="single"/>
        </w:rPr>
        <w:t>             （签字） </w:t>
      </w:r>
    </w:p>
    <w:p>
      <w:pPr>
        <w:pStyle w:val="12"/>
        <w:widowControl/>
        <w:spacing w:before="75" w:beforeAutospacing="0" w:after="75" w:afterAutospacing="0" w:line="375" w:lineRule="atLeast"/>
        <w:jc w:val="both"/>
        <w:rPr>
          <w:rFonts w:ascii="宋体" w:hAnsi="宋体" w:cs="宋体"/>
          <w:color w:val="auto"/>
          <w:sz w:val="21"/>
          <w:szCs w:val="21"/>
          <w:highlight w:val="none"/>
        </w:rPr>
      </w:pPr>
      <w:r>
        <w:rPr>
          <w:rFonts w:hint="eastAsia" w:ascii="宋体" w:hAnsi="宋体" w:cs="宋体"/>
          <w:color w:val="auto"/>
          <w:sz w:val="21"/>
          <w:szCs w:val="21"/>
          <w:highlight w:val="none"/>
        </w:rPr>
        <w:t>供应商名称：</w:t>
      </w:r>
      <w:r>
        <w:rPr>
          <w:rFonts w:hint="eastAsia" w:ascii="宋体" w:hAnsi="宋体" w:cs="宋体"/>
          <w:color w:val="auto"/>
          <w:sz w:val="21"/>
          <w:szCs w:val="21"/>
          <w:highlight w:val="none"/>
          <w:u w:val="single"/>
        </w:rPr>
        <w:t>         （全称并加盖公章）              </w:t>
      </w:r>
    </w:p>
    <w:p>
      <w:pPr>
        <w:pStyle w:val="12"/>
        <w:widowControl/>
        <w:spacing w:before="75" w:beforeAutospacing="0" w:after="75" w:afterAutospacing="0" w:line="375" w:lineRule="atLeast"/>
        <w:rPr>
          <w:rFonts w:ascii="宋体" w:hAnsi="宋体" w:cs="宋体"/>
          <w:color w:val="auto"/>
          <w:sz w:val="21"/>
          <w:szCs w:val="21"/>
          <w:highlight w:val="none"/>
        </w:rPr>
      </w:pPr>
      <w:r>
        <w:rPr>
          <w:rFonts w:hint="eastAsia" w:ascii="宋体" w:hAnsi="宋体" w:cs="宋体"/>
          <w:color w:val="auto"/>
          <w:sz w:val="21"/>
          <w:szCs w:val="21"/>
          <w:highlight w:val="none"/>
        </w:rPr>
        <w:t>日  期： </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年 </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月 </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日</w:t>
      </w:r>
    </w:p>
    <w:p>
      <w:pPr>
        <w:pStyle w:val="12"/>
        <w:widowControl/>
        <w:spacing w:before="75" w:beforeAutospacing="0" w:after="75" w:afterAutospacing="0" w:line="435" w:lineRule="atLeast"/>
        <w:jc w:val="center"/>
        <w:rPr>
          <w:rFonts w:ascii="宋体" w:hAnsi="宋体" w:cs="宋体"/>
          <w:color w:val="auto"/>
          <w:sz w:val="21"/>
          <w:szCs w:val="21"/>
          <w:highlight w:val="none"/>
        </w:rPr>
      </w:pPr>
      <w:bookmarkStart w:id="28" w:name="_Toc16197_WPSOffice_Level1"/>
      <w:r>
        <w:rPr>
          <w:rFonts w:hint="eastAsia" w:ascii="宋体" w:hAnsi="宋体" w:cs="宋体"/>
          <w:color w:val="auto"/>
          <w:sz w:val="21"/>
          <w:szCs w:val="21"/>
          <w:highlight w:val="none"/>
        </w:rPr>
        <w:br w:type="page"/>
      </w:r>
      <w:r>
        <w:rPr>
          <w:rFonts w:hint="eastAsia" w:ascii="宋体" w:hAnsi="宋体" w:cs="宋体"/>
          <w:b/>
          <w:bCs/>
          <w:color w:val="auto"/>
          <w:sz w:val="21"/>
          <w:szCs w:val="21"/>
          <w:highlight w:val="none"/>
        </w:rPr>
        <w:t>附件3-3   </w:t>
      </w:r>
      <w:r>
        <w:rPr>
          <w:rStyle w:val="18"/>
          <w:rFonts w:hint="eastAsia" w:ascii="宋体" w:hAnsi="宋体" w:cs="宋体"/>
          <w:bCs/>
          <w:color w:val="auto"/>
          <w:sz w:val="21"/>
          <w:szCs w:val="21"/>
          <w:highlight w:val="none"/>
        </w:rPr>
        <w:t>单位负责人授权书</w:t>
      </w:r>
      <w:bookmarkEnd w:id="28"/>
    </w:p>
    <w:p>
      <w:pPr>
        <w:pStyle w:val="12"/>
        <w:widowControl/>
        <w:spacing w:before="75" w:beforeAutospacing="0" w:after="75" w:afterAutospacing="0" w:line="360" w:lineRule="atLeast"/>
        <w:rPr>
          <w:rFonts w:ascii="宋体" w:hAnsi="宋体" w:cs="宋体"/>
          <w:color w:val="auto"/>
          <w:sz w:val="21"/>
          <w:szCs w:val="21"/>
          <w:highlight w:val="none"/>
          <w:u w:val="single"/>
        </w:rPr>
      </w:pPr>
      <w:r>
        <w:rPr>
          <w:rFonts w:hint="eastAsia" w:ascii="宋体" w:hAnsi="宋体" w:cs="宋体"/>
          <w:color w:val="auto"/>
          <w:sz w:val="21"/>
          <w:szCs w:val="21"/>
          <w:highlight w:val="none"/>
        </w:rPr>
        <w:t>致：</w:t>
      </w:r>
      <w:r>
        <w:rPr>
          <w:rFonts w:hint="eastAsia" w:ascii="宋体" w:hAnsi="宋体" w:cs="宋体"/>
          <w:color w:val="auto"/>
          <w:sz w:val="21"/>
          <w:szCs w:val="21"/>
          <w:highlight w:val="none"/>
          <w:u w:val="single"/>
        </w:rPr>
        <w:t>宁德市有信产权交易服务有限公司</w:t>
      </w:r>
    </w:p>
    <w:p>
      <w:pPr>
        <w:pStyle w:val="12"/>
        <w:widowControl/>
        <w:spacing w:before="75" w:beforeAutospacing="0" w:after="75" w:afterAutospacing="0" w:line="360" w:lineRule="atLeast"/>
        <w:ind w:firstLine="480"/>
        <w:rPr>
          <w:rFonts w:ascii="宋体" w:hAnsi="宋体" w:cs="宋体"/>
          <w:color w:val="auto"/>
          <w:sz w:val="21"/>
          <w:szCs w:val="21"/>
          <w:highlight w:val="none"/>
        </w:rPr>
      </w:pPr>
      <w:r>
        <w:rPr>
          <w:rFonts w:hint="eastAsia" w:ascii="宋体" w:hAnsi="宋体" w:cs="宋体"/>
          <w:color w:val="auto"/>
          <w:sz w:val="21"/>
          <w:szCs w:val="21"/>
          <w:highlight w:val="none"/>
        </w:rPr>
        <w:t>我方的单位负责人</w:t>
      </w:r>
      <w:r>
        <w:rPr>
          <w:rFonts w:hint="eastAsia" w:ascii="宋体" w:hAnsi="宋体" w:cs="宋体"/>
          <w:color w:val="auto"/>
          <w:sz w:val="21"/>
          <w:szCs w:val="21"/>
          <w:highlight w:val="none"/>
          <w:u w:val="single"/>
        </w:rPr>
        <w:t>（填写“单位负责人全名”）</w:t>
      </w:r>
      <w:r>
        <w:rPr>
          <w:rFonts w:hint="eastAsia" w:ascii="宋体" w:hAnsi="宋体" w:cs="宋体"/>
          <w:color w:val="auto"/>
          <w:sz w:val="21"/>
          <w:szCs w:val="21"/>
          <w:highlight w:val="none"/>
        </w:rPr>
        <w:t>授权</w:t>
      </w:r>
      <w:r>
        <w:rPr>
          <w:rFonts w:hint="eastAsia" w:ascii="宋体" w:hAnsi="宋体" w:cs="宋体"/>
          <w:color w:val="auto"/>
          <w:sz w:val="21"/>
          <w:szCs w:val="21"/>
          <w:highlight w:val="none"/>
          <w:u w:val="single"/>
        </w:rPr>
        <w:t>（填写“供应商代表全名”）</w:t>
      </w:r>
      <w:r>
        <w:rPr>
          <w:rFonts w:hint="eastAsia" w:ascii="宋体" w:hAnsi="宋体" w:cs="宋体"/>
          <w:color w:val="auto"/>
          <w:sz w:val="21"/>
          <w:szCs w:val="21"/>
          <w:highlight w:val="none"/>
        </w:rPr>
        <w:t>为我方的供应商代表，代表我方参加</w:t>
      </w:r>
      <w:r>
        <w:rPr>
          <w:rFonts w:hint="eastAsia" w:ascii="宋体" w:hAnsi="宋体" w:cs="宋体"/>
          <w:color w:val="auto"/>
          <w:sz w:val="21"/>
          <w:szCs w:val="21"/>
          <w:highlight w:val="none"/>
          <w:u w:val="single"/>
        </w:rPr>
        <w:t>  （填写“项目名称”）   </w:t>
      </w:r>
      <w:r>
        <w:rPr>
          <w:rFonts w:hint="eastAsia" w:ascii="宋体" w:hAnsi="宋体" w:cs="宋体"/>
          <w:color w:val="auto"/>
          <w:sz w:val="21"/>
          <w:szCs w:val="21"/>
          <w:highlight w:val="none"/>
        </w:rPr>
        <w:t>项目（项目编号：</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的响应磋商，全权代表我方处理响应磋商过程的一切事宜，包括但不限于：递交响应文件、参与磋商、澄清、签约等工作。供应商代表在响应磋商过程中所签署的一切文件和处理与之有关的一切事务，我方均予以认可并对此承担责任。</w:t>
      </w:r>
    </w:p>
    <w:p>
      <w:pPr>
        <w:pStyle w:val="12"/>
        <w:widowControl/>
        <w:spacing w:before="75" w:beforeAutospacing="0" w:after="75" w:afterAutospacing="0" w:line="360" w:lineRule="atLeast"/>
        <w:rPr>
          <w:rFonts w:ascii="宋体" w:hAnsi="宋体" w:cs="宋体"/>
          <w:color w:val="auto"/>
          <w:sz w:val="21"/>
          <w:szCs w:val="21"/>
          <w:highlight w:val="none"/>
        </w:rPr>
      </w:pPr>
      <w:r>
        <w:rPr>
          <w:rFonts w:hint="eastAsia" w:ascii="宋体" w:hAnsi="宋体" w:cs="宋体"/>
          <w:color w:val="auto"/>
          <w:sz w:val="21"/>
          <w:szCs w:val="21"/>
          <w:highlight w:val="none"/>
        </w:rPr>
        <w:t>    供应商代表无转委权。特此授权。</w:t>
      </w:r>
    </w:p>
    <w:p>
      <w:pPr>
        <w:pStyle w:val="12"/>
        <w:widowControl/>
        <w:spacing w:before="75" w:beforeAutospacing="0" w:after="75" w:afterAutospacing="0" w:line="360" w:lineRule="atLeast"/>
        <w:jc w:val="center"/>
        <w:rPr>
          <w:rFonts w:ascii="宋体" w:hAnsi="宋体" w:cs="宋体"/>
          <w:color w:val="auto"/>
          <w:sz w:val="21"/>
          <w:szCs w:val="21"/>
          <w:highlight w:val="none"/>
        </w:rPr>
      </w:pPr>
      <w:r>
        <w:rPr>
          <w:rFonts w:hint="eastAsia" w:ascii="宋体" w:hAnsi="宋体" w:cs="宋体"/>
          <w:color w:val="auto"/>
          <w:sz w:val="21"/>
          <w:szCs w:val="21"/>
          <w:highlight w:val="none"/>
        </w:rPr>
        <w:t>（以下无正文）</w:t>
      </w:r>
    </w:p>
    <w:p>
      <w:pPr>
        <w:pStyle w:val="12"/>
        <w:widowControl/>
        <w:spacing w:before="75" w:beforeAutospacing="0" w:after="75" w:afterAutospacing="0" w:line="360" w:lineRule="atLeast"/>
        <w:rPr>
          <w:rFonts w:ascii="宋体" w:hAnsi="宋体" w:cs="宋体"/>
          <w:color w:val="auto"/>
          <w:sz w:val="21"/>
          <w:szCs w:val="21"/>
          <w:highlight w:val="none"/>
        </w:rPr>
      </w:pPr>
      <w:r>
        <w:rPr>
          <w:rFonts w:hint="eastAsia" w:ascii="宋体" w:hAnsi="宋体" w:cs="宋体"/>
          <w:color w:val="auto"/>
          <w:sz w:val="21"/>
          <w:szCs w:val="21"/>
          <w:highlight w:val="none"/>
        </w:rPr>
        <w:t>单位负责人：</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身份证号：</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手机：</w:t>
      </w:r>
      <w:r>
        <w:rPr>
          <w:rFonts w:hint="eastAsia" w:ascii="宋体" w:hAnsi="宋体" w:cs="宋体"/>
          <w:color w:val="auto"/>
          <w:sz w:val="21"/>
          <w:szCs w:val="21"/>
          <w:highlight w:val="none"/>
          <w:u w:val="single"/>
        </w:rPr>
        <w:t>            </w:t>
      </w:r>
    </w:p>
    <w:p>
      <w:pPr>
        <w:pStyle w:val="12"/>
        <w:widowControl/>
        <w:spacing w:before="75" w:beforeAutospacing="0" w:after="75" w:afterAutospacing="0" w:line="360" w:lineRule="atLeast"/>
        <w:rPr>
          <w:rFonts w:ascii="宋体" w:hAnsi="宋体" w:cs="宋体"/>
          <w:color w:val="auto"/>
          <w:sz w:val="21"/>
          <w:szCs w:val="21"/>
          <w:highlight w:val="none"/>
        </w:rPr>
      </w:pPr>
      <w:r>
        <w:rPr>
          <w:rFonts w:hint="eastAsia" w:ascii="宋体" w:hAnsi="宋体" w:cs="宋体"/>
          <w:color w:val="auto"/>
          <w:sz w:val="21"/>
          <w:szCs w:val="21"/>
          <w:highlight w:val="none"/>
        </w:rPr>
        <w:t>供应商代表：</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身份证号：</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手机：</w:t>
      </w:r>
      <w:r>
        <w:rPr>
          <w:rFonts w:hint="eastAsia" w:ascii="宋体" w:hAnsi="宋体" w:cs="宋体"/>
          <w:color w:val="auto"/>
          <w:sz w:val="21"/>
          <w:szCs w:val="21"/>
          <w:highlight w:val="none"/>
          <w:u w:val="single"/>
        </w:rPr>
        <w:t>             </w:t>
      </w:r>
    </w:p>
    <w:p>
      <w:pPr>
        <w:pStyle w:val="12"/>
        <w:widowControl/>
        <w:spacing w:before="75" w:beforeAutospacing="0" w:after="75" w:afterAutospacing="0" w:line="360" w:lineRule="atLeast"/>
        <w:rPr>
          <w:rFonts w:ascii="宋体" w:hAnsi="宋体" w:cs="宋体"/>
          <w:b/>
          <w:bCs/>
          <w:color w:val="auto"/>
          <w:sz w:val="21"/>
          <w:szCs w:val="21"/>
          <w:highlight w:val="none"/>
        </w:rPr>
      </w:pPr>
      <w:r>
        <w:rPr>
          <w:rFonts w:hint="eastAsia" w:ascii="宋体" w:hAnsi="宋体" w:cs="宋体"/>
          <w:b/>
          <w:bCs/>
          <w:color w:val="auto"/>
          <w:sz w:val="21"/>
          <w:szCs w:val="21"/>
          <w:highlight w:val="none"/>
        </w:rPr>
        <w:t>授权方</w:t>
      </w:r>
    </w:p>
    <w:p>
      <w:pPr>
        <w:pStyle w:val="12"/>
        <w:widowControl/>
        <w:spacing w:before="75" w:beforeAutospacing="0" w:after="75" w:afterAutospacing="0" w:line="360" w:lineRule="atLeast"/>
        <w:rPr>
          <w:rFonts w:ascii="宋体" w:hAnsi="宋体" w:cs="宋体"/>
          <w:color w:val="auto"/>
          <w:sz w:val="21"/>
          <w:szCs w:val="21"/>
          <w:highlight w:val="none"/>
        </w:rPr>
      </w:pPr>
      <w:r>
        <w:rPr>
          <w:rFonts w:hint="eastAsia" w:ascii="宋体" w:hAnsi="宋体" w:cs="宋体"/>
          <w:color w:val="auto"/>
          <w:sz w:val="21"/>
          <w:szCs w:val="21"/>
          <w:highlight w:val="none"/>
        </w:rPr>
        <w:t>供应商：</w:t>
      </w:r>
      <w:r>
        <w:rPr>
          <w:rFonts w:hint="eastAsia" w:ascii="宋体" w:hAnsi="宋体" w:cs="宋体"/>
          <w:color w:val="auto"/>
          <w:sz w:val="21"/>
          <w:szCs w:val="21"/>
          <w:highlight w:val="none"/>
          <w:u w:val="single"/>
        </w:rPr>
        <w:t>（全称并加盖单位公章）</w:t>
      </w:r>
    </w:p>
    <w:p>
      <w:pPr>
        <w:pStyle w:val="12"/>
        <w:widowControl/>
        <w:spacing w:before="75" w:beforeAutospacing="0" w:after="75" w:afterAutospacing="0" w:line="360" w:lineRule="atLeast"/>
        <w:rPr>
          <w:rFonts w:ascii="宋体" w:hAnsi="宋体" w:cs="宋体"/>
          <w:color w:val="auto"/>
          <w:sz w:val="21"/>
          <w:szCs w:val="21"/>
          <w:highlight w:val="none"/>
        </w:rPr>
      </w:pPr>
      <w:r>
        <w:rPr>
          <w:rFonts w:hint="eastAsia" w:ascii="宋体" w:hAnsi="宋体" w:cs="宋体"/>
          <w:color w:val="auto"/>
          <w:sz w:val="21"/>
          <w:szCs w:val="21"/>
          <w:highlight w:val="none"/>
        </w:rPr>
        <w:t>单位负责人签字或盖章：</w:t>
      </w:r>
      <w:r>
        <w:rPr>
          <w:rFonts w:hint="eastAsia" w:ascii="宋体" w:hAnsi="宋体" w:cs="宋体"/>
          <w:color w:val="auto"/>
          <w:sz w:val="21"/>
          <w:szCs w:val="21"/>
          <w:highlight w:val="none"/>
          <w:u w:val="single"/>
        </w:rPr>
        <w:t>                   </w:t>
      </w:r>
    </w:p>
    <w:p>
      <w:pPr>
        <w:pStyle w:val="12"/>
        <w:widowControl/>
        <w:spacing w:before="75" w:beforeAutospacing="0" w:after="75" w:afterAutospacing="0" w:line="360" w:lineRule="atLeast"/>
        <w:rPr>
          <w:rFonts w:ascii="宋体" w:hAnsi="宋体" w:cs="宋体"/>
          <w:b/>
          <w:bCs/>
          <w:color w:val="auto"/>
          <w:sz w:val="21"/>
          <w:szCs w:val="21"/>
          <w:highlight w:val="none"/>
        </w:rPr>
      </w:pPr>
      <w:r>
        <w:rPr>
          <w:rFonts w:hint="eastAsia" w:ascii="宋体" w:hAnsi="宋体" w:cs="宋体"/>
          <w:b/>
          <w:bCs/>
          <w:color w:val="auto"/>
          <w:sz w:val="21"/>
          <w:szCs w:val="21"/>
          <w:highlight w:val="none"/>
        </w:rPr>
        <w:t>接受授权方</w:t>
      </w:r>
    </w:p>
    <w:p>
      <w:pPr>
        <w:pStyle w:val="12"/>
        <w:widowControl/>
        <w:spacing w:before="75" w:beforeAutospacing="0" w:after="75" w:afterAutospacing="0" w:line="360" w:lineRule="atLeast"/>
        <w:rPr>
          <w:rFonts w:ascii="宋体" w:hAnsi="宋体" w:cs="宋体"/>
          <w:color w:val="auto"/>
          <w:sz w:val="21"/>
          <w:szCs w:val="21"/>
          <w:highlight w:val="none"/>
        </w:rPr>
      </w:pPr>
      <w:r>
        <w:rPr>
          <w:rFonts w:hint="eastAsia" w:ascii="宋体" w:hAnsi="宋体" w:cs="宋体"/>
          <w:color w:val="auto"/>
          <w:sz w:val="21"/>
          <w:szCs w:val="21"/>
          <w:highlight w:val="none"/>
        </w:rPr>
        <w:t>供应商代表签字：</w:t>
      </w:r>
      <w:r>
        <w:rPr>
          <w:rFonts w:hint="eastAsia" w:ascii="宋体" w:hAnsi="宋体" w:cs="宋体"/>
          <w:color w:val="auto"/>
          <w:sz w:val="21"/>
          <w:szCs w:val="21"/>
          <w:highlight w:val="none"/>
          <w:u w:val="single"/>
        </w:rPr>
        <w:t>                   </w:t>
      </w:r>
    </w:p>
    <w:p>
      <w:pPr>
        <w:pStyle w:val="12"/>
        <w:widowControl/>
        <w:spacing w:before="75" w:beforeAutospacing="0" w:after="75" w:afterAutospacing="0" w:line="360" w:lineRule="atLeast"/>
        <w:jc w:val="right"/>
        <w:rPr>
          <w:rFonts w:ascii="宋体" w:hAnsi="宋体" w:cs="宋体"/>
          <w:color w:val="auto"/>
          <w:sz w:val="21"/>
          <w:szCs w:val="21"/>
          <w:highlight w:val="none"/>
        </w:rPr>
      </w:pPr>
      <w:r>
        <w:rPr>
          <w:rFonts w:hint="eastAsia" w:ascii="宋体" w:hAnsi="宋体" w:cs="宋体"/>
          <w:color w:val="auto"/>
          <w:sz w:val="21"/>
          <w:szCs w:val="21"/>
          <w:highlight w:val="none"/>
        </w:rPr>
        <w:t>签署日期：</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年</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月</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日</w:t>
      </w:r>
    </w:p>
    <w:p>
      <w:pPr>
        <w:pStyle w:val="12"/>
        <w:widowControl/>
        <w:spacing w:before="75" w:beforeAutospacing="0" w:after="75" w:afterAutospacing="0" w:line="360" w:lineRule="atLeast"/>
        <w:rPr>
          <w:rFonts w:ascii="宋体" w:hAnsi="宋体" w:cs="宋体"/>
          <w:color w:val="auto"/>
          <w:sz w:val="21"/>
          <w:szCs w:val="21"/>
          <w:highlight w:val="none"/>
        </w:rPr>
      </w:pPr>
      <w:r>
        <w:rPr>
          <w:rFonts w:hint="eastAsia" w:ascii="宋体" w:hAnsi="宋体" w:cs="宋体"/>
          <w:color w:val="auto"/>
          <w:sz w:val="21"/>
          <w:szCs w:val="21"/>
          <w:highlight w:val="none"/>
        </w:rPr>
        <w:t> </w:t>
      </w:r>
    </w:p>
    <w:p>
      <w:pPr>
        <w:pStyle w:val="12"/>
        <w:widowControl/>
        <w:spacing w:before="75" w:beforeAutospacing="0" w:after="75" w:afterAutospacing="0" w:line="405" w:lineRule="atLeast"/>
        <w:rPr>
          <w:rFonts w:ascii="宋体" w:hAnsi="宋体" w:cs="宋体"/>
          <w:color w:val="auto"/>
          <w:sz w:val="21"/>
          <w:szCs w:val="21"/>
          <w:highlight w:val="none"/>
        </w:rPr>
      </w:pPr>
      <w:r>
        <w:rPr>
          <w:rFonts w:hint="eastAsia" w:ascii="宋体" w:hAnsi="宋体" w:cs="宋体"/>
          <w:color w:val="auto"/>
          <w:sz w:val="21"/>
          <w:szCs w:val="21"/>
          <w:highlight w:val="none"/>
        </w:rPr>
        <w:t>附：单位负责人、供应商代表的身份证正反面复印件</w:t>
      </w:r>
    </w:p>
    <w:tbl>
      <w:tblPr>
        <w:tblStyle w:val="15"/>
        <w:tblW w:w="0" w:type="auto"/>
        <w:tblCellSpacing w:w="15" w:type="dxa"/>
        <w:tblInd w:w="-15"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15" w:type="dxa"/>
          <w:left w:w="15" w:type="dxa"/>
          <w:bottom w:w="15" w:type="dxa"/>
          <w:right w:w="15" w:type="dxa"/>
        </w:tblCellMar>
      </w:tblPr>
      <w:tblGrid>
        <w:gridCol w:w="10120"/>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612" w:hRule="atLeast"/>
          <w:tblCellSpacing w:w="15" w:type="dxa"/>
        </w:trPr>
        <w:tc>
          <w:tcPr>
            <w:tcW w:w="10060" w:type="dxa"/>
            <w:tcBorders>
              <w:top w:val="nil"/>
              <w:left w:val="nil"/>
              <w:bottom w:val="nil"/>
              <w:right w:val="nil"/>
            </w:tcBorders>
            <w:tcMar>
              <w:top w:w="0" w:type="dxa"/>
              <w:left w:w="105" w:type="dxa"/>
              <w:bottom w:w="0" w:type="dxa"/>
              <w:right w:w="105" w:type="dxa"/>
            </w:tcMar>
            <w:vAlign w:val="center"/>
          </w:tcPr>
          <w:p>
            <w:pPr>
              <w:pStyle w:val="12"/>
              <w:keepNext w:val="0"/>
              <w:keepLines w:val="0"/>
              <w:widowControl/>
              <w:suppressLineNumbers w:val="0"/>
              <w:spacing w:before="0" w:beforeAutospacing="0" w:after="0" w:afterAutospacing="0" w:line="405" w:lineRule="atLeast"/>
              <w:ind w:left="0" w:right="0"/>
              <w:jc w:val="center"/>
              <w:rPr>
                <w:rFonts w:hint="default" w:ascii="宋体" w:hAnsi="宋体" w:cs="宋体"/>
                <w:color w:val="auto"/>
                <w:sz w:val="21"/>
                <w:szCs w:val="21"/>
                <w:highlight w:val="none"/>
              </w:rPr>
            </w:pPr>
            <w:r>
              <w:rPr>
                <w:rStyle w:val="18"/>
                <w:rFonts w:hint="eastAsia" w:ascii="宋体" w:hAnsi="宋体" w:cs="宋体"/>
                <w:color w:val="auto"/>
                <w:sz w:val="21"/>
                <w:szCs w:val="21"/>
                <w:highlight w:val="none"/>
              </w:rPr>
              <w:t> </w:t>
            </w:r>
          </w:p>
          <w:p>
            <w:pPr>
              <w:pStyle w:val="12"/>
              <w:keepNext w:val="0"/>
              <w:keepLines w:val="0"/>
              <w:widowControl/>
              <w:suppressLineNumbers w:val="0"/>
              <w:spacing w:before="0" w:beforeAutospacing="0" w:after="0" w:afterAutospacing="0" w:line="405" w:lineRule="atLeast"/>
              <w:ind w:left="0" w:right="0"/>
              <w:jc w:val="center"/>
              <w:rPr>
                <w:rFonts w:hint="default" w:ascii="宋体" w:hAnsi="宋体" w:cs="宋体"/>
                <w:color w:val="auto"/>
                <w:sz w:val="21"/>
                <w:szCs w:val="21"/>
                <w:highlight w:val="none"/>
              </w:rPr>
            </w:pPr>
            <w:r>
              <w:rPr>
                <w:rStyle w:val="18"/>
                <w:rFonts w:hint="eastAsia" w:ascii="宋体" w:hAnsi="宋体" w:cs="宋体"/>
                <w:color w:val="auto"/>
                <w:sz w:val="21"/>
                <w:szCs w:val="21"/>
                <w:highlight w:val="none"/>
              </w:rPr>
              <w:t>要求：真实、有效、清晰</w:t>
            </w:r>
          </w:p>
          <w:p>
            <w:pPr>
              <w:pStyle w:val="12"/>
              <w:keepNext w:val="0"/>
              <w:keepLines w:val="0"/>
              <w:widowControl/>
              <w:suppressLineNumbers w:val="0"/>
              <w:spacing w:before="0" w:beforeAutospacing="0" w:after="0" w:afterAutospacing="0" w:line="405" w:lineRule="atLeast"/>
              <w:ind w:left="0" w:right="0"/>
              <w:jc w:val="center"/>
              <w:rPr>
                <w:rFonts w:hint="default" w:ascii="宋体" w:hAnsi="宋体" w:cs="宋体"/>
                <w:color w:val="auto"/>
                <w:sz w:val="21"/>
                <w:szCs w:val="21"/>
                <w:highlight w:val="none"/>
              </w:rPr>
            </w:pPr>
            <w:r>
              <w:rPr>
                <w:rStyle w:val="18"/>
                <w:rFonts w:hint="eastAsia" w:ascii="宋体" w:hAnsi="宋体" w:cs="宋体"/>
                <w:color w:val="auto"/>
                <w:sz w:val="21"/>
                <w:szCs w:val="21"/>
                <w:highlight w:val="none"/>
              </w:rPr>
              <w:t> </w:t>
            </w:r>
          </w:p>
        </w:tc>
      </w:tr>
    </w:tbl>
    <w:p>
      <w:pPr>
        <w:pStyle w:val="12"/>
        <w:widowControl/>
        <w:spacing w:before="75" w:beforeAutospacing="0" w:after="75" w:afterAutospacing="0" w:line="285" w:lineRule="atLeast"/>
        <w:jc w:val="both"/>
        <w:rPr>
          <w:rFonts w:ascii="宋体" w:hAnsi="宋体" w:cs="宋体"/>
          <w:color w:val="auto"/>
          <w:sz w:val="21"/>
          <w:szCs w:val="21"/>
          <w:highlight w:val="none"/>
        </w:rPr>
      </w:pPr>
      <w:r>
        <w:rPr>
          <w:rFonts w:hint="eastAsia" w:ascii="宋体" w:hAnsi="宋体" w:cs="宋体"/>
          <w:color w:val="auto"/>
          <w:sz w:val="21"/>
          <w:szCs w:val="21"/>
          <w:highlight w:val="none"/>
        </w:rPr>
        <w:t>※注意：</w:t>
      </w:r>
    </w:p>
    <w:p>
      <w:pPr>
        <w:pStyle w:val="12"/>
        <w:widowControl/>
        <w:spacing w:before="0" w:beforeAutospacing="0" w:after="0" w:afterAutospacing="0" w:line="285" w:lineRule="atLeast"/>
        <w:rPr>
          <w:rFonts w:ascii="宋体" w:hAnsi="宋体" w:cs="宋体"/>
          <w:color w:val="auto"/>
          <w:sz w:val="21"/>
          <w:szCs w:val="21"/>
          <w:highlight w:val="none"/>
        </w:rPr>
      </w:pPr>
      <w:r>
        <w:rPr>
          <w:rFonts w:hint="eastAsia" w:ascii="宋体" w:hAnsi="宋体" w:cs="宋体"/>
          <w:color w:val="auto"/>
          <w:sz w:val="21"/>
          <w:szCs w:val="21"/>
          <w:highlight w:val="none"/>
        </w:rPr>
        <w:t>1、企业（银行、保险、石油石化、电力、电信等行业除外）、事业单位和社会团体法人的“单位负责人”指</w:t>
      </w:r>
      <w:r>
        <w:rPr>
          <w:rStyle w:val="18"/>
          <w:rFonts w:hint="eastAsia" w:ascii="宋体" w:hAnsi="宋体" w:cs="宋体"/>
          <w:color w:val="auto"/>
          <w:sz w:val="21"/>
          <w:szCs w:val="21"/>
          <w:highlight w:val="none"/>
        </w:rPr>
        <w:t>法定代表人</w:t>
      </w:r>
      <w:r>
        <w:rPr>
          <w:rFonts w:hint="eastAsia" w:ascii="宋体" w:hAnsi="宋体" w:cs="宋体"/>
          <w:color w:val="auto"/>
          <w:sz w:val="21"/>
          <w:szCs w:val="21"/>
          <w:highlight w:val="none"/>
        </w:rPr>
        <w:t>，即与实际提交的“营业执照等证明文件”载明的一致。</w:t>
      </w:r>
    </w:p>
    <w:p>
      <w:pPr>
        <w:pStyle w:val="12"/>
        <w:widowControl/>
        <w:spacing w:before="0" w:beforeAutospacing="0" w:after="0" w:afterAutospacing="0" w:line="285" w:lineRule="atLeast"/>
        <w:rPr>
          <w:rFonts w:ascii="宋体" w:hAnsi="宋体" w:cs="宋体"/>
          <w:color w:val="auto"/>
          <w:sz w:val="21"/>
          <w:szCs w:val="21"/>
          <w:highlight w:val="none"/>
        </w:rPr>
      </w:pPr>
      <w:r>
        <w:rPr>
          <w:rFonts w:hint="eastAsia" w:ascii="宋体" w:hAnsi="宋体" w:cs="宋体"/>
          <w:color w:val="auto"/>
          <w:sz w:val="21"/>
          <w:szCs w:val="21"/>
          <w:highlight w:val="none"/>
        </w:rPr>
        <w:t>2、银行、保险、石油石化、电力、电信等行业：以法人身份参加磋商的，“单位负责人”指</w:t>
      </w:r>
      <w:r>
        <w:rPr>
          <w:rStyle w:val="18"/>
          <w:rFonts w:hint="eastAsia" w:ascii="宋体" w:hAnsi="宋体" w:cs="宋体"/>
          <w:color w:val="auto"/>
          <w:sz w:val="21"/>
          <w:szCs w:val="21"/>
          <w:highlight w:val="none"/>
        </w:rPr>
        <w:t>法定代表人</w:t>
      </w:r>
      <w:r>
        <w:rPr>
          <w:rFonts w:hint="eastAsia" w:ascii="宋体" w:hAnsi="宋体" w:cs="宋体"/>
          <w:color w:val="auto"/>
          <w:sz w:val="21"/>
          <w:szCs w:val="21"/>
          <w:highlight w:val="none"/>
        </w:rPr>
        <w:t>，即与实际提交的“营业执照等证明文件”载明的一致；以非法人身份参加磋商的，“单位负责人”指</w:t>
      </w:r>
      <w:r>
        <w:rPr>
          <w:rStyle w:val="18"/>
          <w:rFonts w:hint="eastAsia" w:ascii="宋体" w:hAnsi="宋体" w:cs="宋体"/>
          <w:color w:val="auto"/>
          <w:sz w:val="21"/>
          <w:szCs w:val="21"/>
          <w:highlight w:val="none"/>
        </w:rPr>
        <w:t>代表单位行使职权的主要负责人</w:t>
      </w:r>
      <w:r>
        <w:rPr>
          <w:rFonts w:hint="eastAsia" w:ascii="宋体" w:hAnsi="宋体" w:cs="宋体"/>
          <w:color w:val="auto"/>
          <w:sz w:val="21"/>
          <w:szCs w:val="21"/>
          <w:highlight w:val="none"/>
        </w:rPr>
        <w:t>，即与实际提交的“营业执照等证明文件”载明的一致。</w:t>
      </w:r>
    </w:p>
    <w:p>
      <w:pPr>
        <w:pStyle w:val="12"/>
        <w:widowControl/>
        <w:spacing w:before="0" w:beforeAutospacing="0" w:after="0" w:afterAutospacing="0" w:line="285" w:lineRule="atLeast"/>
        <w:rPr>
          <w:rFonts w:ascii="宋体" w:hAnsi="宋体" w:cs="宋体"/>
          <w:color w:val="auto"/>
          <w:sz w:val="21"/>
          <w:szCs w:val="21"/>
          <w:highlight w:val="none"/>
        </w:rPr>
      </w:pPr>
      <w:r>
        <w:rPr>
          <w:rFonts w:hint="eastAsia" w:ascii="宋体" w:hAnsi="宋体" w:cs="宋体"/>
          <w:color w:val="auto"/>
          <w:sz w:val="21"/>
          <w:szCs w:val="21"/>
          <w:highlight w:val="none"/>
        </w:rPr>
        <w:t>3、负责响应文件签字的供应商代表如果不是上述规定的单位负责人，则供应商应当在响应文件中提供本授权书，纸质响应文件正本中的本授权书应为原件。供应商为自然人的，可不填写本授权书，但应当提供其身份证正反面复印件。</w:t>
      </w:r>
    </w:p>
    <w:p>
      <w:pPr>
        <w:pStyle w:val="12"/>
        <w:widowControl/>
        <w:spacing w:before="75" w:beforeAutospacing="0" w:after="240" w:afterAutospacing="0" w:line="285" w:lineRule="atLeast"/>
        <w:jc w:val="both"/>
        <w:rPr>
          <w:rFonts w:ascii="宋体" w:hAnsi="宋体" w:cs="宋体"/>
          <w:color w:val="auto"/>
          <w:sz w:val="21"/>
          <w:szCs w:val="21"/>
          <w:highlight w:val="none"/>
        </w:rPr>
      </w:pPr>
      <w:r>
        <w:rPr>
          <w:rFonts w:hint="eastAsia" w:ascii="宋体" w:hAnsi="宋体" w:cs="宋体"/>
          <w:color w:val="auto"/>
          <w:sz w:val="21"/>
          <w:szCs w:val="21"/>
          <w:highlight w:val="none"/>
        </w:rPr>
        <w:t>4、对于接受联合体形式的磋商且供应商是联合体的，则只需要联合体的牵头方提交本授权书，在纸质响应文件正本中的本授权书应为原件。</w:t>
      </w:r>
    </w:p>
    <w:p>
      <w:pPr>
        <w:pStyle w:val="12"/>
        <w:widowControl/>
        <w:spacing w:before="75" w:beforeAutospacing="0" w:after="75" w:afterAutospacing="0" w:line="435" w:lineRule="atLeast"/>
        <w:jc w:val="center"/>
        <w:rPr>
          <w:rFonts w:ascii="宋体" w:hAnsi="宋体" w:cs="宋体"/>
          <w:color w:val="auto"/>
          <w:highlight w:val="none"/>
        </w:rPr>
      </w:pPr>
      <w:bookmarkStart w:id="29" w:name="_Toc29326_WPSOffice_Level1"/>
      <w:r>
        <w:rPr>
          <w:rFonts w:hint="eastAsia" w:ascii="宋体" w:hAnsi="宋体" w:cs="宋体"/>
          <w:color w:val="auto"/>
          <w:highlight w:val="none"/>
        </w:rPr>
        <w:br w:type="page"/>
      </w:r>
      <w:r>
        <w:rPr>
          <w:rFonts w:hint="eastAsia" w:ascii="宋体" w:hAnsi="宋体" w:cs="宋体"/>
          <w:b/>
          <w:bCs/>
          <w:color w:val="auto"/>
          <w:highlight w:val="none"/>
        </w:rPr>
        <w:t>附件3-4 </w:t>
      </w:r>
      <w:r>
        <w:rPr>
          <w:rStyle w:val="18"/>
          <w:rFonts w:hint="eastAsia" w:ascii="宋体" w:hAnsi="宋体" w:cs="宋体"/>
          <w:bCs/>
          <w:color w:val="auto"/>
          <w:highlight w:val="none"/>
        </w:rPr>
        <w:t> 营业执照等证明文件</w:t>
      </w:r>
      <w:bookmarkEnd w:id="29"/>
    </w:p>
    <w:p>
      <w:pPr>
        <w:pStyle w:val="12"/>
        <w:widowControl/>
        <w:spacing w:before="75" w:beforeAutospacing="0" w:after="75" w:afterAutospacing="0" w:line="435" w:lineRule="atLeast"/>
        <w:rPr>
          <w:rFonts w:ascii="宋体" w:hAnsi="宋体" w:cs="宋体"/>
          <w:color w:val="auto"/>
          <w:highlight w:val="none"/>
        </w:rPr>
      </w:pPr>
      <w:r>
        <w:rPr>
          <w:rFonts w:hint="eastAsia" w:ascii="宋体" w:hAnsi="宋体" w:cs="宋体"/>
          <w:color w:val="auto"/>
          <w:highlight w:val="none"/>
        </w:rPr>
        <w:t> </w:t>
      </w:r>
    </w:p>
    <w:p>
      <w:pPr>
        <w:pStyle w:val="12"/>
        <w:widowControl/>
        <w:spacing w:before="75" w:beforeAutospacing="0" w:after="75" w:afterAutospacing="0"/>
        <w:rPr>
          <w:rFonts w:ascii="宋体" w:hAnsi="宋体" w:cs="宋体"/>
          <w:color w:val="auto"/>
          <w:sz w:val="21"/>
          <w:szCs w:val="21"/>
          <w:highlight w:val="none"/>
          <w:u w:val="single"/>
        </w:rPr>
      </w:pPr>
      <w:r>
        <w:rPr>
          <w:rFonts w:hint="eastAsia" w:ascii="宋体" w:hAnsi="宋体" w:cs="宋体"/>
          <w:color w:val="auto"/>
          <w:sz w:val="21"/>
          <w:szCs w:val="21"/>
          <w:highlight w:val="none"/>
        </w:rPr>
        <w:t>致：</w:t>
      </w:r>
      <w:r>
        <w:rPr>
          <w:rFonts w:hint="eastAsia" w:ascii="宋体" w:hAnsi="宋体" w:cs="宋体"/>
          <w:color w:val="auto"/>
          <w:sz w:val="21"/>
          <w:szCs w:val="21"/>
          <w:highlight w:val="none"/>
          <w:u w:val="single"/>
        </w:rPr>
        <w:t>宁德市有信产权交易服务有限公司</w:t>
      </w:r>
    </w:p>
    <w:p>
      <w:pPr>
        <w:pStyle w:val="12"/>
        <w:widowControl/>
        <w:spacing w:before="75" w:beforeAutospacing="0" w:after="75" w:afterAutospacing="0"/>
        <w:ind w:firstLine="420"/>
        <w:rPr>
          <w:rFonts w:ascii="宋体" w:hAnsi="宋体" w:cs="宋体"/>
          <w:color w:val="auto"/>
          <w:sz w:val="21"/>
          <w:szCs w:val="21"/>
          <w:highlight w:val="none"/>
        </w:rPr>
      </w:pPr>
      <w:r>
        <w:rPr>
          <w:rFonts w:hint="eastAsia" w:ascii="宋体" w:hAnsi="宋体" w:cs="宋体"/>
          <w:color w:val="auto"/>
          <w:sz w:val="21"/>
          <w:szCs w:val="21"/>
          <w:highlight w:val="none"/>
        </w:rPr>
        <w:t>（ ）供应商为法人（包括企业、事业单位和社会团体）的</w:t>
      </w:r>
    </w:p>
    <w:p>
      <w:pPr>
        <w:pStyle w:val="12"/>
        <w:widowControl/>
        <w:spacing w:before="75" w:beforeAutospacing="0" w:after="75" w:afterAutospacing="0"/>
        <w:ind w:firstLine="420"/>
        <w:rPr>
          <w:rFonts w:ascii="宋体" w:hAnsi="宋体" w:cs="宋体"/>
          <w:color w:val="auto"/>
          <w:sz w:val="21"/>
          <w:szCs w:val="21"/>
          <w:highlight w:val="none"/>
        </w:rPr>
      </w:pPr>
      <w:r>
        <w:rPr>
          <w:rFonts w:hint="eastAsia" w:ascii="宋体" w:hAnsi="宋体" w:cs="宋体"/>
          <w:color w:val="auto"/>
          <w:sz w:val="21"/>
          <w:szCs w:val="21"/>
          <w:highlight w:val="none"/>
        </w:rPr>
        <w:t>现附上由</w:t>
      </w:r>
      <w:r>
        <w:rPr>
          <w:rFonts w:hint="eastAsia" w:ascii="宋体" w:hAnsi="宋体" w:cs="宋体"/>
          <w:color w:val="auto"/>
          <w:sz w:val="21"/>
          <w:szCs w:val="21"/>
          <w:highlight w:val="none"/>
          <w:u w:val="single"/>
        </w:rPr>
        <w:t>（填写“签发机关全称”）</w:t>
      </w:r>
      <w:r>
        <w:rPr>
          <w:rFonts w:hint="eastAsia" w:ascii="宋体" w:hAnsi="宋体" w:cs="宋体"/>
          <w:color w:val="auto"/>
          <w:sz w:val="21"/>
          <w:szCs w:val="21"/>
          <w:highlight w:val="none"/>
        </w:rPr>
        <w:t>签发的我方统一社会信用代码</w:t>
      </w:r>
      <w:r>
        <w:rPr>
          <w:rFonts w:hint="eastAsia" w:ascii="宋体" w:hAnsi="宋体" w:cs="宋体"/>
          <w:color w:val="auto"/>
          <w:sz w:val="21"/>
          <w:szCs w:val="21"/>
          <w:highlight w:val="none"/>
          <w:u w:val="single"/>
        </w:rPr>
        <w:t>（请填写法人的具体证照名称）</w:t>
      </w:r>
      <w:r>
        <w:rPr>
          <w:rFonts w:hint="eastAsia" w:ascii="宋体" w:hAnsi="宋体" w:cs="宋体"/>
          <w:color w:val="auto"/>
          <w:sz w:val="21"/>
          <w:szCs w:val="21"/>
          <w:highlight w:val="none"/>
        </w:rPr>
        <w:t>复印件，该证明材料真实有效，否则我方负全部责任。</w:t>
      </w:r>
    </w:p>
    <w:p>
      <w:pPr>
        <w:pStyle w:val="12"/>
        <w:widowControl/>
        <w:spacing w:before="75" w:beforeAutospacing="0" w:after="75" w:afterAutospacing="0"/>
        <w:ind w:firstLine="420"/>
        <w:rPr>
          <w:rFonts w:ascii="宋体" w:hAnsi="宋体" w:cs="宋体"/>
          <w:color w:val="auto"/>
          <w:sz w:val="21"/>
          <w:szCs w:val="21"/>
          <w:highlight w:val="none"/>
        </w:rPr>
      </w:pPr>
      <w:r>
        <w:rPr>
          <w:rFonts w:hint="eastAsia" w:ascii="宋体" w:hAnsi="宋体" w:cs="宋体"/>
          <w:color w:val="auto"/>
          <w:sz w:val="21"/>
          <w:szCs w:val="21"/>
          <w:highlight w:val="none"/>
        </w:rPr>
        <w:t>（ ）供应商为非法人（包括其他组织、自然人）的</w:t>
      </w:r>
    </w:p>
    <w:p>
      <w:pPr>
        <w:pStyle w:val="12"/>
        <w:widowControl/>
        <w:spacing w:before="75" w:beforeAutospacing="0" w:after="75" w:afterAutospacing="0"/>
        <w:ind w:firstLine="420"/>
        <w:rPr>
          <w:rFonts w:ascii="宋体" w:hAnsi="宋体" w:cs="宋体"/>
          <w:color w:val="auto"/>
          <w:sz w:val="21"/>
          <w:szCs w:val="21"/>
          <w:highlight w:val="none"/>
        </w:rPr>
      </w:pPr>
      <w:r>
        <w:rPr>
          <w:rFonts w:hint="eastAsia" w:ascii="宋体" w:hAnsi="宋体" w:cs="宋体"/>
          <w:color w:val="auto"/>
          <w:sz w:val="21"/>
          <w:szCs w:val="21"/>
          <w:highlight w:val="none"/>
        </w:rPr>
        <w:t>□现附上由</w:t>
      </w:r>
      <w:r>
        <w:rPr>
          <w:rFonts w:hint="eastAsia" w:ascii="宋体" w:hAnsi="宋体" w:cs="宋体"/>
          <w:color w:val="auto"/>
          <w:sz w:val="21"/>
          <w:szCs w:val="21"/>
          <w:highlight w:val="none"/>
          <w:u w:val="single"/>
        </w:rPr>
        <w:t>（填写“签发机关全称”）</w:t>
      </w:r>
      <w:r>
        <w:rPr>
          <w:rFonts w:hint="eastAsia" w:ascii="宋体" w:hAnsi="宋体" w:cs="宋体"/>
          <w:color w:val="auto"/>
          <w:sz w:val="21"/>
          <w:szCs w:val="21"/>
          <w:highlight w:val="none"/>
        </w:rPr>
        <w:t>签发的我方</w:t>
      </w:r>
      <w:r>
        <w:rPr>
          <w:rFonts w:hint="eastAsia" w:ascii="宋体" w:hAnsi="宋体" w:cs="宋体"/>
          <w:color w:val="auto"/>
          <w:sz w:val="21"/>
          <w:szCs w:val="21"/>
          <w:highlight w:val="none"/>
          <w:u w:val="single"/>
        </w:rPr>
        <w:t>（请填写非自然人的非法人的具体证照名称）</w:t>
      </w:r>
      <w:r>
        <w:rPr>
          <w:rFonts w:hint="eastAsia" w:ascii="宋体" w:hAnsi="宋体" w:cs="宋体"/>
          <w:color w:val="auto"/>
          <w:sz w:val="21"/>
          <w:szCs w:val="21"/>
          <w:highlight w:val="none"/>
        </w:rPr>
        <w:t>复印件，该证明材料真实有效，否则我方负全部责任。</w:t>
      </w:r>
    </w:p>
    <w:p>
      <w:pPr>
        <w:pStyle w:val="12"/>
        <w:widowControl/>
        <w:spacing w:before="75" w:beforeAutospacing="0" w:after="75" w:afterAutospacing="0"/>
        <w:ind w:firstLine="420"/>
        <w:rPr>
          <w:rFonts w:ascii="宋体" w:hAnsi="宋体" w:cs="宋体"/>
          <w:color w:val="auto"/>
          <w:sz w:val="21"/>
          <w:szCs w:val="21"/>
          <w:highlight w:val="none"/>
        </w:rPr>
      </w:pPr>
      <w:r>
        <w:rPr>
          <w:rFonts w:hint="eastAsia" w:ascii="宋体" w:hAnsi="宋体" w:cs="宋体"/>
          <w:color w:val="auto"/>
          <w:sz w:val="21"/>
          <w:szCs w:val="21"/>
          <w:highlight w:val="none"/>
        </w:rPr>
        <w:t>□现附上由</w:t>
      </w:r>
      <w:r>
        <w:rPr>
          <w:rFonts w:hint="eastAsia" w:ascii="宋体" w:hAnsi="宋体" w:cs="宋体"/>
          <w:color w:val="auto"/>
          <w:sz w:val="21"/>
          <w:szCs w:val="21"/>
          <w:highlight w:val="none"/>
          <w:u w:val="single"/>
        </w:rPr>
        <w:t>（填写“签发机关全称”）</w:t>
      </w:r>
      <w:r>
        <w:rPr>
          <w:rFonts w:hint="eastAsia" w:ascii="宋体" w:hAnsi="宋体" w:cs="宋体"/>
          <w:color w:val="auto"/>
          <w:sz w:val="21"/>
          <w:szCs w:val="21"/>
          <w:highlight w:val="none"/>
        </w:rPr>
        <w:t>签发的我方</w:t>
      </w:r>
      <w:r>
        <w:rPr>
          <w:rFonts w:hint="eastAsia" w:ascii="宋体" w:hAnsi="宋体" w:cs="宋体"/>
          <w:color w:val="auto"/>
          <w:sz w:val="21"/>
          <w:szCs w:val="21"/>
          <w:highlight w:val="none"/>
          <w:u w:val="single"/>
        </w:rPr>
        <w:t>（请填写自然人的身份证件名称）</w:t>
      </w:r>
      <w:r>
        <w:rPr>
          <w:rFonts w:hint="eastAsia" w:ascii="宋体" w:hAnsi="宋体" w:cs="宋体"/>
          <w:color w:val="auto"/>
          <w:sz w:val="21"/>
          <w:szCs w:val="21"/>
          <w:highlight w:val="none"/>
        </w:rPr>
        <w:t>复印件，该证明材料真实有效，否则我方负全部责任。</w:t>
      </w:r>
    </w:p>
    <w:p>
      <w:pPr>
        <w:pStyle w:val="12"/>
        <w:widowControl/>
        <w:spacing w:before="75" w:beforeAutospacing="0" w:after="75" w:afterAutospacing="0"/>
        <w:rPr>
          <w:rFonts w:ascii="宋体" w:hAnsi="宋体" w:cs="宋体"/>
          <w:color w:val="auto"/>
          <w:sz w:val="21"/>
          <w:szCs w:val="21"/>
          <w:highlight w:val="none"/>
        </w:rPr>
      </w:pPr>
      <w:r>
        <w:rPr>
          <w:rFonts w:hint="eastAsia" w:ascii="宋体" w:hAnsi="宋体" w:cs="宋体"/>
          <w:color w:val="auto"/>
          <w:sz w:val="21"/>
          <w:szCs w:val="21"/>
          <w:highlight w:val="none"/>
        </w:rPr>
        <w:t> </w:t>
      </w:r>
    </w:p>
    <w:p>
      <w:pPr>
        <w:pStyle w:val="12"/>
        <w:widowControl/>
        <w:spacing w:before="75" w:beforeAutospacing="0" w:after="75" w:afterAutospacing="0"/>
        <w:rPr>
          <w:rFonts w:ascii="宋体" w:hAnsi="宋体" w:cs="宋体"/>
          <w:color w:val="auto"/>
          <w:sz w:val="21"/>
          <w:szCs w:val="21"/>
          <w:highlight w:val="none"/>
        </w:rPr>
      </w:pPr>
      <w:r>
        <w:rPr>
          <w:rFonts w:hint="eastAsia" w:ascii="宋体" w:hAnsi="宋体" w:cs="宋体"/>
          <w:color w:val="auto"/>
          <w:sz w:val="21"/>
          <w:szCs w:val="21"/>
          <w:highlight w:val="none"/>
        </w:rPr>
        <w:t>※注意：</w:t>
      </w:r>
    </w:p>
    <w:p>
      <w:pPr>
        <w:pStyle w:val="12"/>
        <w:widowControl/>
        <w:spacing w:before="75" w:beforeAutospacing="0" w:after="75" w:afterAutospacing="0"/>
        <w:rPr>
          <w:rFonts w:ascii="宋体" w:hAnsi="宋体" w:cs="宋体"/>
          <w:color w:val="auto"/>
          <w:sz w:val="21"/>
          <w:szCs w:val="21"/>
          <w:highlight w:val="none"/>
        </w:rPr>
      </w:pPr>
      <w:r>
        <w:rPr>
          <w:rFonts w:hint="eastAsia" w:ascii="宋体" w:hAnsi="宋体" w:cs="宋体"/>
          <w:color w:val="auto"/>
          <w:sz w:val="21"/>
          <w:szCs w:val="21"/>
          <w:highlight w:val="none"/>
        </w:rPr>
        <w:t>1、请供应商根据实际情况填写，在相应的（）中打“√”并选择相应的“□”（若有）后，再按照本格式的要求提供相应证明材料的复印件。</w:t>
      </w:r>
    </w:p>
    <w:p>
      <w:pPr>
        <w:pStyle w:val="12"/>
        <w:widowControl/>
        <w:spacing w:before="75" w:beforeAutospacing="0" w:after="75" w:afterAutospacing="0"/>
        <w:rPr>
          <w:rFonts w:ascii="宋体" w:hAnsi="宋体" w:cs="宋体"/>
          <w:color w:val="auto"/>
          <w:sz w:val="21"/>
          <w:szCs w:val="21"/>
          <w:highlight w:val="none"/>
        </w:rPr>
      </w:pPr>
      <w:r>
        <w:rPr>
          <w:rFonts w:hint="eastAsia" w:ascii="宋体" w:hAnsi="宋体" w:cs="宋体"/>
          <w:color w:val="auto"/>
          <w:sz w:val="21"/>
          <w:szCs w:val="21"/>
          <w:highlight w:val="none"/>
        </w:rPr>
        <w:t>2、供应商为企业的，提供有效的营业执照复印件；供应商为事业单位的，提供有效的事业单位法人证书复印件；供应商为社会团体的，提供有效的社会团体法人登记证书复印件；供应商为合伙企业、个体工商户的，提供有效的营业执照复印件；供应商为非企业专业服务机构的，提供有效的执业许可证等证明材料复印件；供应商为自然人的，提供有效的自然人身份证件复印件；其他供应商应按照有关法律、法规和规章规定，提供有效的相应具体证照复印件。</w:t>
      </w:r>
    </w:p>
    <w:p>
      <w:pPr>
        <w:pStyle w:val="12"/>
        <w:widowControl/>
        <w:spacing w:before="75" w:beforeAutospacing="0" w:after="75" w:afterAutospacing="0"/>
        <w:rPr>
          <w:rFonts w:ascii="宋体" w:hAnsi="宋体" w:cs="宋体"/>
          <w:color w:val="auto"/>
          <w:sz w:val="21"/>
          <w:szCs w:val="21"/>
          <w:highlight w:val="none"/>
        </w:rPr>
      </w:pPr>
      <w:r>
        <w:rPr>
          <w:rFonts w:hint="eastAsia" w:ascii="宋体" w:hAnsi="宋体" w:cs="宋体"/>
          <w:color w:val="auto"/>
          <w:sz w:val="21"/>
          <w:szCs w:val="21"/>
          <w:highlight w:val="none"/>
        </w:rPr>
        <w:t>3、供应商提供的相应证明材料复印件均应符合：内容完整、清晰、整洁，并由供应商加盖其单位公章。</w:t>
      </w:r>
    </w:p>
    <w:p>
      <w:pPr>
        <w:pStyle w:val="12"/>
        <w:widowControl/>
        <w:spacing w:before="75" w:beforeAutospacing="0" w:after="75" w:afterAutospacing="0"/>
        <w:rPr>
          <w:rFonts w:ascii="宋体" w:hAnsi="宋体" w:cs="宋体"/>
          <w:color w:val="auto"/>
          <w:sz w:val="21"/>
          <w:szCs w:val="21"/>
          <w:highlight w:val="none"/>
        </w:rPr>
      </w:pPr>
      <w:r>
        <w:rPr>
          <w:rFonts w:hint="eastAsia" w:ascii="宋体" w:hAnsi="宋体" w:cs="宋体"/>
          <w:color w:val="auto"/>
          <w:sz w:val="21"/>
          <w:szCs w:val="21"/>
          <w:highlight w:val="none"/>
        </w:rPr>
        <w:t>4、对于接受联合体形式的磋商且供应商是联合体的，则联合体各成员都应当提交本资格证明文件。</w:t>
      </w:r>
    </w:p>
    <w:p>
      <w:pPr>
        <w:pStyle w:val="12"/>
        <w:widowControl/>
        <w:spacing w:before="75" w:beforeAutospacing="0" w:after="75" w:afterAutospacing="0"/>
        <w:rPr>
          <w:rFonts w:ascii="宋体" w:hAnsi="宋体" w:cs="宋体"/>
          <w:color w:val="auto"/>
          <w:sz w:val="21"/>
          <w:szCs w:val="21"/>
          <w:highlight w:val="none"/>
        </w:rPr>
      </w:pPr>
      <w:r>
        <w:rPr>
          <w:rFonts w:hint="eastAsia" w:ascii="宋体" w:hAnsi="宋体" w:cs="宋体"/>
          <w:color w:val="auto"/>
          <w:sz w:val="21"/>
          <w:szCs w:val="21"/>
          <w:highlight w:val="none"/>
        </w:rPr>
        <w:t> </w:t>
      </w:r>
    </w:p>
    <w:p>
      <w:pPr>
        <w:pStyle w:val="12"/>
        <w:widowControl/>
        <w:spacing w:before="75" w:beforeAutospacing="0" w:after="75" w:afterAutospacing="0" w:line="435" w:lineRule="atLeast"/>
        <w:jc w:val="both"/>
        <w:rPr>
          <w:rFonts w:ascii="宋体" w:hAnsi="宋体" w:cs="宋体"/>
          <w:color w:val="auto"/>
          <w:sz w:val="21"/>
          <w:szCs w:val="21"/>
          <w:highlight w:val="none"/>
        </w:rPr>
      </w:pPr>
      <w:r>
        <w:rPr>
          <w:rFonts w:hint="eastAsia" w:ascii="宋体" w:hAnsi="宋体" w:cs="宋体"/>
          <w:color w:val="auto"/>
          <w:sz w:val="21"/>
          <w:szCs w:val="21"/>
          <w:highlight w:val="none"/>
        </w:rPr>
        <w:t>供应商代表：</w:t>
      </w:r>
      <w:r>
        <w:rPr>
          <w:rFonts w:hint="eastAsia" w:ascii="宋体" w:hAnsi="宋体" w:cs="宋体"/>
          <w:color w:val="auto"/>
          <w:sz w:val="21"/>
          <w:szCs w:val="21"/>
          <w:highlight w:val="none"/>
          <w:u w:val="single"/>
        </w:rPr>
        <w:t>             （签字） </w:t>
      </w:r>
    </w:p>
    <w:p>
      <w:pPr>
        <w:pStyle w:val="12"/>
        <w:widowControl/>
        <w:spacing w:before="75" w:beforeAutospacing="0" w:after="75" w:afterAutospacing="0" w:line="435" w:lineRule="atLeast"/>
        <w:jc w:val="both"/>
        <w:rPr>
          <w:rFonts w:ascii="宋体" w:hAnsi="宋体" w:cs="宋体"/>
          <w:color w:val="auto"/>
          <w:sz w:val="21"/>
          <w:szCs w:val="21"/>
          <w:highlight w:val="none"/>
        </w:rPr>
      </w:pPr>
      <w:r>
        <w:rPr>
          <w:rFonts w:hint="eastAsia" w:ascii="宋体" w:hAnsi="宋体" w:cs="宋体"/>
          <w:color w:val="auto"/>
          <w:sz w:val="21"/>
          <w:szCs w:val="21"/>
          <w:highlight w:val="none"/>
        </w:rPr>
        <w:t>供应商名称：</w:t>
      </w:r>
      <w:r>
        <w:rPr>
          <w:rFonts w:hint="eastAsia" w:ascii="宋体" w:hAnsi="宋体" w:cs="宋体"/>
          <w:color w:val="auto"/>
          <w:sz w:val="21"/>
          <w:szCs w:val="21"/>
          <w:highlight w:val="none"/>
          <w:u w:val="single"/>
        </w:rPr>
        <w:t>         （全称并加盖公章）              </w:t>
      </w:r>
    </w:p>
    <w:p>
      <w:pPr>
        <w:pStyle w:val="12"/>
        <w:widowControl/>
        <w:spacing w:before="75" w:beforeAutospacing="0" w:after="75" w:afterAutospacing="0" w:line="435" w:lineRule="atLeast"/>
        <w:rPr>
          <w:rFonts w:ascii="宋体" w:hAnsi="宋体" w:cs="宋体"/>
          <w:color w:val="auto"/>
          <w:sz w:val="21"/>
          <w:szCs w:val="21"/>
          <w:highlight w:val="none"/>
        </w:rPr>
      </w:pPr>
      <w:r>
        <w:rPr>
          <w:rFonts w:hint="eastAsia" w:ascii="宋体" w:hAnsi="宋体" w:cs="宋体"/>
          <w:color w:val="auto"/>
          <w:sz w:val="21"/>
          <w:szCs w:val="21"/>
          <w:highlight w:val="none"/>
        </w:rPr>
        <w:t>日  期： </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年 </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月 </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日</w:t>
      </w:r>
    </w:p>
    <w:p>
      <w:pPr>
        <w:pStyle w:val="12"/>
        <w:widowControl/>
        <w:spacing w:before="75" w:beforeAutospacing="0" w:after="75" w:afterAutospacing="0" w:line="435" w:lineRule="atLeast"/>
        <w:rPr>
          <w:rFonts w:ascii="宋体" w:hAnsi="宋体" w:cs="宋体"/>
          <w:color w:val="auto"/>
          <w:highlight w:val="none"/>
        </w:rPr>
      </w:pPr>
      <w:r>
        <w:rPr>
          <w:rFonts w:hint="eastAsia" w:ascii="宋体" w:hAnsi="宋体" w:cs="宋体"/>
          <w:color w:val="auto"/>
          <w:highlight w:val="none"/>
        </w:rPr>
        <w:t> </w:t>
      </w:r>
    </w:p>
    <w:p>
      <w:pPr>
        <w:pStyle w:val="12"/>
        <w:widowControl/>
        <w:spacing w:before="75" w:beforeAutospacing="0" w:after="75" w:afterAutospacing="0" w:line="435" w:lineRule="atLeast"/>
        <w:rPr>
          <w:rFonts w:ascii="宋体" w:hAnsi="宋体" w:cs="宋体"/>
          <w:color w:val="auto"/>
          <w:highlight w:val="none"/>
        </w:rPr>
      </w:pPr>
      <w:r>
        <w:rPr>
          <w:rFonts w:hint="eastAsia" w:ascii="宋体" w:hAnsi="宋体" w:cs="宋体"/>
          <w:color w:val="auto"/>
          <w:highlight w:val="none"/>
        </w:rPr>
        <w:t> </w:t>
      </w:r>
    </w:p>
    <w:p>
      <w:pPr>
        <w:pStyle w:val="12"/>
        <w:widowControl/>
        <w:spacing w:before="75" w:beforeAutospacing="0" w:after="75" w:afterAutospacing="0" w:line="435" w:lineRule="atLeast"/>
        <w:jc w:val="center"/>
        <w:rPr>
          <w:rFonts w:ascii="宋体" w:hAnsi="宋体" w:cs="宋体"/>
          <w:color w:val="auto"/>
          <w:highlight w:val="none"/>
        </w:rPr>
      </w:pPr>
    </w:p>
    <w:p>
      <w:pPr>
        <w:pStyle w:val="12"/>
        <w:widowControl/>
        <w:spacing w:before="75" w:beforeAutospacing="0" w:after="75" w:afterAutospacing="0" w:line="435" w:lineRule="atLeast"/>
        <w:jc w:val="center"/>
        <w:rPr>
          <w:rFonts w:ascii="宋体" w:hAnsi="宋体" w:cs="宋体"/>
          <w:color w:val="auto"/>
          <w:highlight w:val="none"/>
        </w:rPr>
      </w:pPr>
    </w:p>
    <w:p>
      <w:pPr>
        <w:pStyle w:val="12"/>
        <w:widowControl/>
        <w:spacing w:before="75" w:beforeAutospacing="0" w:after="75" w:afterAutospacing="0" w:line="435" w:lineRule="atLeast"/>
        <w:jc w:val="center"/>
        <w:rPr>
          <w:rFonts w:ascii="宋体" w:hAnsi="宋体" w:cs="宋体"/>
          <w:color w:val="auto"/>
          <w:sz w:val="21"/>
          <w:szCs w:val="21"/>
          <w:highlight w:val="none"/>
        </w:rPr>
      </w:pPr>
      <w:r>
        <w:rPr>
          <w:rFonts w:hint="eastAsia" w:ascii="宋体" w:hAnsi="宋体" w:cs="宋体"/>
          <w:color w:val="auto"/>
          <w:highlight w:val="none"/>
        </w:rPr>
        <w:br w:type="page"/>
      </w:r>
      <w:r>
        <w:rPr>
          <w:rFonts w:hint="eastAsia" w:ascii="宋体" w:hAnsi="宋体" w:cs="宋体"/>
          <w:b/>
          <w:bCs/>
          <w:color w:val="auto"/>
          <w:sz w:val="21"/>
          <w:szCs w:val="21"/>
          <w:highlight w:val="none"/>
        </w:rPr>
        <w:t>附件3-5   </w:t>
      </w:r>
      <w:r>
        <w:rPr>
          <w:rStyle w:val="18"/>
          <w:rFonts w:hint="eastAsia" w:ascii="宋体" w:hAnsi="宋体" w:cs="宋体"/>
          <w:bCs/>
          <w:color w:val="auto"/>
          <w:sz w:val="21"/>
          <w:szCs w:val="21"/>
          <w:highlight w:val="none"/>
        </w:rPr>
        <w:t>财务状况报告</w:t>
      </w:r>
    </w:p>
    <w:p>
      <w:pPr>
        <w:pStyle w:val="12"/>
        <w:widowControl/>
        <w:spacing w:before="75" w:beforeAutospacing="0" w:after="75" w:afterAutospacing="0" w:line="435" w:lineRule="atLeast"/>
        <w:rPr>
          <w:rFonts w:ascii="宋体" w:hAnsi="宋体" w:cs="宋体"/>
          <w:color w:val="auto"/>
          <w:sz w:val="21"/>
          <w:szCs w:val="21"/>
          <w:highlight w:val="none"/>
        </w:rPr>
      </w:pPr>
      <w:r>
        <w:rPr>
          <w:rFonts w:hint="eastAsia" w:ascii="宋体" w:hAnsi="宋体" w:cs="宋体"/>
          <w:color w:val="auto"/>
          <w:sz w:val="21"/>
          <w:szCs w:val="21"/>
          <w:highlight w:val="none"/>
        </w:rPr>
        <w:t> </w:t>
      </w:r>
    </w:p>
    <w:p>
      <w:pPr>
        <w:pStyle w:val="12"/>
        <w:widowControl/>
        <w:spacing w:before="75" w:beforeAutospacing="0" w:after="75" w:afterAutospacing="0" w:line="435" w:lineRule="atLeast"/>
        <w:jc w:val="both"/>
        <w:rPr>
          <w:rFonts w:ascii="宋体" w:hAnsi="宋体" w:cs="宋体"/>
          <w:color w:val="auto"/>
          <w:sz w:val="21"/>
          <w:szCs w:val="21"/>
          <w:highlight w:val="none"/>
        </w:rPr>
      </w:pPr>
      <w:r>
        <w:rPr>
          <w:rFonts w:hint="eastAsia" w:ascii="宋体" w:hAnsi="宋体" w:cs="宋体"/>
          <w:color w:val="auto"/>
          <w:sz w:val="21"/>
          <w:szCs w:val="21"/>
          <w:highlight w:val="none"/>
        </w:rPr>
        <w:t>致：</w:t>
      </w:r>
      <w:r>
        <w:rPr>
          <w:rFonts w:hint="eastAsia" w:ascii="宋体" w:hAnsi="宋体" w:cs="宋体"/>
          <w:color w:val="auto"/>
          <w:sz w:val="21"/>
          <w:szCs w:val="21"/>
          <w:highlight w:val="none"/>
          <w:u w:val="single"/>
        </w:rPr>
        <w:t>宁德市有信产权交易服务有限公司</w:t>
      </w:r>
    </w:p>
    <w:p>
      <w:pPr>
        <w:pStyle w:val="12"/>
        <w:widowControl/>
        <w:spacing w:before="75" w:beforeAutospacing="0" w:after="75" w:afterAutospacing="0" w:line="435" w:lineRule="atLeast"/>
        <w:ind w:firstLine="480"/>
        <w:jc w:val="both"/>
        <w:rPr>
          <w:rFonts w:ascii="宋体" w:hAnsi="宋体" w:cs="宋体"/>
          <w:color w:val="auto"/>
          <w:sz w:val="21"/>
          <w:szCs w:val="21"/>
          <w:highlight w:val="none"/>
        </w:rPr>
      </w:pPr>
      <w:r>
        <w:rPr>
          <w:rFonts w:hint="eastAsia" w:ascii="宋体" w:hAnsi="宋体" w:cs="宋体"/>
          <w:color w:val="auto"/>
          <w:sz w:val="21"/>
          <w:szCs w:val="21"/>
          <w:highlight w:val="none"/>
        </w:rPr>
        <w:t>（ ）供应商提供财务报告的</w:t>
      </w:r>
    </w:p>
    <w:p>
      <w:pPr>
        <w:pStyle w:val="12"/>
        <w:widowControl/>
        <w:spacing w:before="75" w:beforeAutospacing="0" w:after="75" w:afterAutospacing="0" w:line="435" w:lineRule="atLeast"/>
        <w:ind w:firstLine="480"/>
        <w:jc w:val="both"/>
        <w:rPr>
          <w:rFonts w:ascii="宋体" w:hAnsi="宋体" w:cs="宋体"/>
          <w:color w:val="auto"/>
          <w:sz w:val="21"/>
          <w:szCs w:val="21"/>
          <w:highlight w:val="none"/>
        </w:rPr>
      </w:pPr>
      <w:r>
        <w:rPr>
          <w:rFonts w:hint="eastAsia" w:ascii="宋体" w:hAnsi="宋体" w:cs="宋体"/>
          <w:color w:val="auto"/>
          <w:sz w:val="21"/>
          <w:szCs w:val="21"/>
          <w:highlight w:val="none"/>
        </w:rPr>
        <w:t>□企业适用：现附上我方</w:t>
      </w:r>
      <w:r>
        <w:rPr>
          <w:rFonts w:hint="eastAsia" w:ascii="宋体" w:hAnsi="宋体" w:cs="宋体"/>
          <w:color w:val="auto"/>
          <w:sz w:val="21"/>
          <w:szCs w:val="21"/>
          <w:highlight w:val="none"/>
          <w:u w:val="single"/>
        </w:rPr>
        <w:t>（填写“具体的年度、或半年度、或季度”）</w:t>
      </w:r>
      <w:r>
        <w:rPr>
          <w:rFonts w:hint="eastAsia" w:ascii="宋体" w:hAnsi="宋体" w:cs="宋体"/>
          <w:color w:val="auto"/>
          <w:sz w:val="21"/>
          <w:szCs w:val="21"/>
          <w:highlight w:val="none"/>
        </w:rPr>
        <w:t>财务报告复印件，包括资产负债表、利润表、现金流量表、所有者权益变动表及其附注（若有），上述证明材料真实有效，否则我方负全部责任。</w:t>
      </w:r>
    </w:p>
    <w:p>
      <w:pPr>
        <w:pStyle w:val="12"/>
        <w:widowControl/>
        <w:spacing w:before="75" w:beforeAutospacing="0" w:after="75" w:afterAutospacing="0" w:line="435" w:lineRule="atLeast"/>
        <w:ind w:firstLine="480"/>
        <w:jc w:val="both"/>
        <w:rPr>
          <w:rFonts w:ascii="宋体" w:hAnsi="宋体" w:cs="宋体"/>
          <w:color w:val="auto"/>
          <w:sz w:val="21"/>
          <w:szCs w:val="21"/>
          <w:highlight w:val="none"/>
        </w:rPr>
      </w:pPr>
      <w:r>
        <w:rPr>
          <w:rFonts w:hint="eastAsia" w:ascii="宋体" w:hAnsi="宋体" w:cs="宋体"/>
          <w:color w:val="auto"/>
          <w:sz w:val="21"/>
          <w:szCs w:val="21"/>
          <w:highlight w:val="none"/>
        </w:rPr>
        <w:t>□事业单位适用：现附上我方</w:t>
      </w:r>
      <w:r>
        <w:rPr>
          <w:rFonts w:hint="eastAsia" w:ascii="宋体" w:hAnsi="宋体" w:cs="宋体"/>
          <w:color w:val="auto"/>
          <w:sz w:val="21"/>
          <w:szCs w:val="21"/>
          <w:highlight w:val="none"/>
          <w:u w:val="single"/>
        </w:rPr>
        <w:t>（填写“具体的年度、或半年度、或季度”）</w:t>
      </w:r>
      <w:r>
        <w:rPr>
          <w:rFonts w:hint="eastAsia" w:ascii="宋体" w:hAnsi="宋体" w:cs="宋体"/>
          <w:color w:val="auto"/>
          <w:sz w:val="21"/>
          <w:szCs w:val="21"/>
          <w:highlight w:val="none"/>
        </w:rPr>
        <w:t>财务报告复印件，包括资产负债表、收入支出表或收入费用表、财政补助收入支出表（若有），上述证明材料真实有效，否则我方负全部责任。</w:t>
      </w:r>
    </w:p>
    <w:p>
      <w:pPr>
        <w:pStyle w:val="12"/>
        <w:widowControl/>
        <w:spacing w:before="75" w:beforeAutospacing="0" w:after="75" w:afterAutospacing="0" w:line="435" w:lineRule="atLeast"/>
        <w:ind w:firstLine="480"/>
        <w:jc w:val="both"/>
        <w:rPr>
          <w:rFonts w:ascii="宋体" w:hAnsi="宋体" w:cs="宋体"/>
          <w:color w:val="auto"/>
          <w:sz w:val="21"/>
          <w:szCs w:val="21"/>
          <w:highlight w:val="none"/>
        </w:rPr>
      </w:pPr>
      <w:r>
        <w:rPr>
          <w:rFonts w:hint="eastAsia" w:ascii="宋体" w:hAnsi="宋体" w:cs="宋体"/>
          <w:color w:val="auto"/>
          <w:sz w:val="21"/>
          <w:szCs w:val="21"/>
          <w:highlight w:val="none"/>
        </w:rPr>
        <w:t>□社会团体适用：现附上我方</w:t>
      </w:r>
      <w:r>
        <w:rPr>
          <w:rFonts w:hint="eastAsia" w:ascii="宋体" w:hAnsi="宋体" w:cs="宋体"/>
          <w:color w:val="auto"/>
          <w:sz w:val="21"/>
          <w:szCs w:val="21"/>
          <w:highlight w:val="none"/>
          <w:u w:val="single"/>
        </w:rPr>
        <w:t>（填写“具体的年度、或半年度、或季度”）</w:t>
      </w:r>
      <w:r>
        <w:rPr>
          <w:rFonts w:hint="eastAsia" w:ascii="宋体" w:hAnsi="宋体" w:cs="宋体"/>
          <w:color w:val="auto"/>
          <w:sz w:val="21"/>
          <w:szCs w:val="21"/>
          <w:highlight w:val="none"/>
        </w:rPr>
        <w:t>财务报告复印件，包括资产负债表、业务活动表、现金流量表，上述证明材料真实有效，否则我方负全部责任。</w:t>
      </w:r>
    </w:p>
    <w:p>
      <w:pPr>
        <w:pStyle w:val="12"/>
        <w:widowControl/>
        <w:spacing w:before="75" w:beforeAutospacing="0" w:after="75" w:afterAutospacing="0" w:line="435" w:lineRule="atLeast"/>
        <w:ind w:firstLine="480"/>
        <w:jc w:val="both"/>
        <w:rPr>
          <w:rFonts w:ascii="宋体" w:hAnsi="宋体" w:cs="宋体"/>
          <w:color w:val="auto"/>
          <w:sz w:val="21"/>
          <w:szCs w:val="21"/>
          <w:highlight w:val="none"/>
        </w:rPr>
      </w:pPr>
      <w:r>
        <w:rPr>
          <w:rFonts w:hint="eastAsia" w:ascii="宋体" w:hAnsi="宋体" w:cs="宋体"/>
          <w:color w:val="auto"/>
          <w:sz w:val="21"/>
          <w:szCs w:val="21"/>
          <w:highlight w:val="none"/>
        </w:rPr>
        <w:t>（ ）供应商提供资信证明的</w:t>
      </w:r>
    </w:p>
    <w:p>
      <w:pPr>
        <w:pStyle w:val="12"/>
        <w:widowControl/>
        <w:spacing w:before="75" w:beforeAutospacing="0" w:after="75" w:afterAutospacing="0" w:line="435" w:lineRule="atLeast"/>
        <w:ind w:firstLine="480"/>
        <w:jc w:val="both"/>
        <w:rPr>
          <w:rFonts w:ascii="宋体" w:hAnsi="宋体" w:cs="宋体"/>
          <w:color w:val="auto"/>
          <w:sz w:val="21"/>
          <w:szCs w:val="21"/>
          <w:highlight w:val="none"/>
        </w:rPr>
      </w:pPr>
      <w:r>
        <w:rPr>
          <w:rFonts w:hint="eastAsia" w:ascii="宋体" w:hAnsi="宋体" w:cs="宋体"/>
          <w:color w:val="auto"/>
          <w:sz w:val="21"/>
          <w:szCs w:val="21"/>
          <w:highlight w:val="none"/>
        </w:rPr>
        <w:t>□非自然人适用：现附上我方银行：</w:t>
      </w:r>
      <w:r>
        <w:rPr>
          <w:rFonts w:hint="eastAsia" w:ascii="宋体" w:hAnsi="宋体" w:cs="宋体"/>
          <w:color w:val="auto"/>
          <w:sz w:val="21"/>
          <w:szCs w:val="21"/>
          <w:highlight w:val="none"/>
          <w:u w:val="single"/>
        </w:rPr>
        <w:t>（填写“基本户的开户银行全称”）</w:t>
      </w:r>
      <w:r>
        <w:rPr>
          <w:rFonts w:hint="eastAsia" w:ascii="宋体" w:hAnsi="宋体" w:cs="宋体"/>
          <w:color w:val="auto"/>
          <w:sz w:val="21"/>
          <w:szCs w:val="21"/>
          <w:highlight w:val="none"/>
        </w:rPr>
        <w:t>出具的资信证明复印件，上述证明材料真实有效，否则我方负全部责任。</w:t>
      </w:r>
    </w:p>
    <w:p>
      <w:pPr>
        <w:pStyle w:val="12"/>
        <w:widowControl/>
        <w:spacing w:before="75" w:beforeAutospacing="0" w:after="75" w:afterAutospacing="0" w:line="435" w:lineRule="atLeast"/>
        <w:ind w:firstLine="480"/>
        <w:jc w:val="both"/>
        <w:rPr>
          <w:rFonts w:ascii="宋体" w:hAnsi="宋体" w:cs="宋体"/>
          <w:color w:val="auto"/>
          <w:sz w:val="21"/>
          <w:szCs w:val="21"/>
          <w:highlight w:val="none"/>
        </w:rPr>
      </w:pPr>
      <w:r>
        <w:rPr>
          <w:rFonts w:hint="eastAsia" w:ascii="宋体" w:hAnsi="宋体" w:cs="宋体"/>
          <w:color w:val="auto"/>
          <w:sz w:val="21"/>
          <w:szCs w:val="21"/>
          <w:highlight w:val="none"/>
        </w:rPr>
        <w:t>□自然人适用：现附上我方银行：</w:t>
      </w:r>
      <w:r>
        <w:rPr>
          <w:rFonts w:hint="eastAsia" w:ascii="宋体" w:hAnsi="宋体" w:cs="宋体"/>
          <w:color w:val="auto"/>
          <w:sz w:val="21"/>
          <w:szCs w:val="21"/>
          <w:highlight w:val="none"/>
          <w:u w:val="single"/>
        </w:rPr>
        <w:t>（填写自然人的“个人账户的开户银行全称”）</w:t>
      </w:r>
      <w:r>
        <w:rPr>
          <w:rFonts w:hint="eastAsia" w:ascii="宋体" w:hAnsi="宋体" w:cs="宋体"/>
          <w:color w:val="auto"/>
          <w:sz w:val="21"/>
          <w:szCs w:val="21"/>
          <w:highlight w:val="none"/>
        </w:rPr>
        <w:t>出具的资信证明复印件，上述证明材料真实有效，否则我方负全部责任。</w:t>
      </w:r>
    </w:p>
    <w:p>
      <w:pPr>
        <w:pStyle w:val="12"/>
        <w:widowControl/>
        <w:spacing w:before="75" w:beforeAutospacing="0" w:after="75" w:afterAutospacing="0" w:line="435" w:lineRule="atLeast"/>
        <w:ind w:firstLine="480"/>
        <w:jc w:val="both"/>
        <w:rPr>
          <w:rFonts w:ascii="宋体" w:hAnsi="宋体" w:cs="宋体"/>
          <w:color w:val="auto"/>
          <w:sz w:val="21"/>
          <w:szCs w:val="21"/>
          <w:highlight w:val="none"/>
        </w:rPr>
      </w:pPr>
      <w:r>
        <w:rPr>
          <w:rFonts w:hint="eastAsia" w:ascii="宋体" w:hAnsi="宋体" w:cs="宋体"/>
          <w:color w:val="auto"/>
          <w:sz w:val="21"/>
          <w:szCs w:val="21"/>
          <w:highlight w:val="none"/>
        </w:rPr>
        <w:t>（ ）供应商提供投标（磋商）担保函的</w:t>
      </w:r>
    </w:p>
    <w:p>
      <w:pPr>
        <w:pStyle w:val="12"/>
        <w:widowControl/>
        <w:spacing w:before="75" w:beforeAutospacing="0" w:after="75" w:afterAutospacing="0" w:line="435" w:lineRule="atLeast"/>
        <w:ind w:firstLine="480"/>
        <w:jc w:val="both"/>
        <w:rPr>
          <w:rFonts w:ascii="宋体" w:hAnsi="宋体" w:cs="宋体"/>
          <w:color w:val="auto"/>
          <w:sz w:val="21"/>
          <w:szCs w:val="21"/>
          <w:highlight w:val="none"/>
        </w:rPr>
      </w:pPr>
      <w:r>
        <w:rPr>
          <w:rFonts w:hint="eastAsia" w:ascii="宋体" w:hAnsi="宋体" w:cs="宋体"/>
          <w:color w:val="auto"/>
          <w:sz w:val="21"/>
          <w:szCs w:val="21"/>
          <w:highlight w:val="none"/>
        </w:rPr>
        <w:t>现附上由财政部门认可的政府采购专业担保机构：</w:t>
      </w:r>
      <w:r>
        <w:rPr>
          <w:rFonts w:hint="eastAsia" w:ascii="宋体" w:hAnsi="宋体" w:cs="宋体"/>
          <w:color w:val="auto"/>
          <w:sz w:val="21"/>
          <w:szCs w:val="21"/>
          <w:highlight w:val="none"/>
          <w:u w:val="single"/>
        </w:rPr>
        <w:t>（填写“担保机构全称”）</w:t>
      </w:r>
      <w:r>
        <w:rPr>
          <w:rFonts w:hint="eastAsia" w:ascii="宋体" w:hAnsi="宋体" w:cs="宋体"/>
          <w:color w:val="auto"/>
          <w:sz w:val="21"/>
          <w:szCs w:val="21"/>
          <w:highlight w:val="none"/>
        </w:rPr>
        <w:t>出具的投标（磋商）担保函复印件，上述证明材料真实有效，否则我方负全部责任。</w:t>
      </w:r>
    </w:p>
    <w:p>
      <w:pPr>
        <w:pStyle w:val="12"/>
        <w:widowControl/>
        <w:spacing w:before="75" w:beforeAutospacing="0" w:after="75" w:afterAutospacing="0"/>
        <w:rPr>
          <w:rFonts w:ascii="宋体" w:hAnsi="宋体" w:cs="宋体"/>
          <w:color w:val="auto"/>
          <w:sz w:val="21"/>
          <w:szCs w:val="21"/>
          <w:highlight w:val="none"/>
        </w:rPr>
      </w:pPr>
      <w:r>
        <w:rPr>
          <w:rStyle w:val="18"/>
          <w:rFonts w:hint="eastAsia" w:ascii="宋体" w:hAnsi="宋体" w:cs="宋体"/>
          <w:color w:val="auto"/>
          <w:sz w:val="21"/>
          <w:szCs w:val="21"/>
          <w:highlight w:val="none"/>
        </w:rPr>
        <w:t> </w:t>
      </w:r>
    </w:p>
    <w:p>
      <w:pPr>
        <w:pStyle w:val="12"/>
        <w:widowControl/>
        <w:spacing w:before="75" w:beforeAutospacing="0" w:after="75" w:afterAutospacing="0"/>
        <w:rPr>
          <w:rFonts w:ascii="宋体" w:hAnsi="宋体" w:cs="宋体"/>
          <w:color w:val="auto"/>
          <w:sz w:val="21"/>
          <w:szCs w:val="21"/>
          <w:highlight w:val="none"/>
        </w:rPr>
      </w:pPr>
      <w:r>
        <w:rPr>
          <w:rFonts w:hint="eastAsia" w:ascii="宋体" w:hAnsi="宋体" w:cs="宋体"/>
          <w:color w:val="auto"/>
          <w:sz w:val="21"/>
          <w:szCs w:val="21"/>
          <w:highlight w:val="none"/>
        </w:rPr>
        <w:t>※注意事项：</w:t>
      </w:r>
    </w:p>
    <w:p>
      <w:pPr>
        <w:pStyle w:val="12"/>
        <w:widowControl/>
        <w:spacing w:before="75" w:beforeAutospacing="0" w:after="75" w:afterAutospacing="0"/>
        <w:ind w:firstLine="420"/>
        <w:rPr>
          <w:rFonts w:ascii="宋体" w:hAnsi="宋体" w:cs="宋体"/>
          <w:color w:val="auto"/>
          <w:sz w:val="21"/>
          <w:szCs w:val="21"/>
          <w:highlight w:val="none"/>
        </w:rPr>
      </w:pPr>
      <w:r>
        <w:rPr>
          <w:rFonts w:hint="eastAsia" w:ascii="宋体" w:hAnsi="宋体" w:cs="宋体"/>
          <w:color w:val="auto"/>
          <w:sz w:val="21"/>
          <w:szCs w:val="21"/>
          <w:highlight w:val="none"/>
        </w:rPr>
        <w:t>1、上文提供财务报告、资信证明、担保函共三大类型，请供应商按照自身实际情况编制填写，在其中相应的（）中打“√”并选择相应的“□”（若有）后，再按照本格式的要求提供相应证明材料的复印件即可。即供应商符合上述三大类型其中一种，并按要求提供相应证明资料即为满足。</w:t>
      </w:r>
    </w:p>
    <w:p>
      <w:pPr>
        <w:pStyle w:val="12"/>
        <w:widowControl/>
        <w:spacing w:before="75" w:beforeAutospacing="0" w:after="75" w:afterAutospacing="0"/>
        <w:ind w:firstLine="420"/>
        <w:rPr>
          <w:rFonts w:ascii="宋体" w:hAnsi="宋体" w:cs="宋体"/>
          <w:color w:val="auto"/>
          <w:sz w:val="21"/>
          <w:szCs w:val="21"/>
          <w:highlight w:val="none"/>
        </w:rPr>
      </w:pPr>
      <w:r>
        <w:rPr>
          <w:rFonts w:hint="eastAsia" w:ascii="宋体" w:hAnsi="宋体" w:cs="宋体"/>
          <w:color w:val="auto"/>
          <w:sz w:val="21"/>
          <w:szCs w:val="21"/>
          <w:highlight w:val="none"/>
        </w:rPr>
        <w:t>2、供应商提供的财务报告复印件（成立年限按照首次响应文件递交截止时间推算）应符合下列规定：</w:t>
      </w:r>
    </w:p>
    <w:p>
      <w:pPr>
        <w:pStyle w:val="12"/>
        <w:widowControl/>
        <w:spacing w:before="75" w:beforeAutospacing="0" w:after="75" w:afterAutospacing="0"/>
        <w:ind w:firstLine="420"/>
        <w:rPr>
          <w:rFonts w:ascii="宋体" w:hAnsi="宋体" w:cs="宋体"/>
          <w:b/>
          <w:bCs/>
          <w:color w:val="auto"/>
          <w:sz w:val="21"/>
          <w:szCs w:val="21"/>
          <w:highlight w:val="none"/>
        </w:rPr>
      </w:pPr>
      <w:r>
        <w:rPr>
          <w:rFonts w:hint="eastAsia" w:ascii="宋体" w:hAnsi="宋体" w:cs="宋体"/>
          <w:b/>
          <w:bCs/>
          <w:color w:val="auto"/>
          <w:sz w:val="21"/>
          <w:szCs w:val="21"/>
          <w:highlight w:val="none"/>
        </w:rPr>
        <w:t>2.1成立年限满1年及以上的供应商，提供经审计的</w:t>
      </w:r>
      <w:r>
        <w:rPr>
          <w:rFonts w:hint="eastAsia" w:ascii="宋体" w:hAnsi="宋体" w:cs="宋体"/>
          <w:b/>
          <w:bCs/>
          <w:color w:val="auto"/>
          <w:sz w:val="21"/>
          <w:szCs w:val="21"/>
          <w:highlight w:val="none"/>
          <w:lang w:eastAsia="zh-CN"/>
        </w:rPr>
        <w:t>2</w:t>
      </w:r>
      <w:r>
        <w:rPr>
          <w:rFonts w:hint="eastAsia" w:ascii="宋体" w:hAnsi="宋体" w:cs="宋体"/>
          <w:b/>
          <w:bCs/>
          <w:color w:val="auto"/>
          <w:sz w:val="21"/>
          <w:szCs w:val="21"/>
          <w:highlight w:val="none"/>
          <w:lang w:val="en-US" w:eastAsia="zh-CN"/>
        </w:rPr>
        <w:t>021年或2022年</w:t>
      </w:r>
      <w:r>
        <w:rPr>
          <w:rFonts w:hint="eastAsia" w:ascii="宋体" w:hAnsi="宋体" w:cs="宋体"/>
          <w:b/>
          <w:bCs/>
          <w:color w:val="auto"/>
          <w:sz w:val="21"/>
          <w:szCs w:val="21"/>
          <w:highlight w:val="none"/>
        </w:rPr>
        <w:t>的年度财务报告。</w:t>
      </w:r>
    </w:p>
    <w:p>
      <w:pPr>
        <w:pStyle w:val="12"/>
        <w:widowControl/>
        <w:spacing w:before="75" w:beforeAutospacing="0" w:after="75" w:afterAutospacing="0"/>
        <w:ind w:firstLine="420"/>
        <w:rPr>
          <w:rFonts w:ascii="宋体" w:hAnsi="宋体" w:cs="宋体"/>
          <w:color w:val="auto"/>
          <w:sz w:val="21"/>
          <w:szCs w:val="21"/>
          <w:highlight w:val="none"/>
        </w:rPr>
      </w:pPr>
      <w:r>
        <w:rPr>
          <w:rFonts w:hint="eastAsia" w:ascii="宋体" w:hAnsi="宋体" w:cs="宋体"/>
          <w:b/>
          <w:bCs/>
          <w:color w:val="auto"/>
          <w:sz w:val="21"/>
          <w:szCs w:val="21"/>
          <w:highlight w:val="none"/>
        </w:rPr>
        <w:t>2.2成立年限满半年但不足1年的供应商，提供该半年度中任一季度的季度财务报告或该半年度的半年度财务报告</w:t>
      </w:r>
      <w:r>
        <w:rPr>
          <w:rFonts w:hint="eastAsia" w:ascii="宋体" w:hAnsi="宋体" w:cs="宋体"/>
          <w:color w:val="auto"/>
          <w:sz w:val="21"/>
          <w:szCs w:val="21"/>
          <w:highlight w:val="none"/>
        </w:rPr>
        <w:t>。</w:t>
      </w:r>
    </w:p>
    <w:p>
      <w:pPr>
        <w:pStyle w:val="12"/>
        <w:widowControl/>
        <w:spacing w:before="75" w:beforeAutospacing="0" w:after="75" w:afterAutospacing="0"/>
        <w:ind w:firstLine="420"/>
        <w:rPr>
          <w:rFonts w:ascii="宋体" w:hAnsi="宋体" w:cs="宋体"/>
          <w:color w:val="auto"/>
          <w:sz w:val="21"/>
          <w:szCs w:val="21"/>
          <w:highlight w:val="none"/>
        </w:rPr>
      </w:pPr>
      <w:r>
        <w:rPr>
          <w:rStyle w:val="18"/>
          <w:rFonts w:hint="eastAsia" w:ascii="宋体" w:hAnsi="宋体" w:cs="宋体"/>
          <w:color w:val="auto"/>
          <w:sz w:val="21"/>
          <w:szCs w:val="21"/>
          <w:highlight w:val="none"/>
        </w:rPr>
        <w:t>※无法按照本格式注意事项第2.1、2.2条规定提供财务报告复印件的供应商，应按照本格式注意事项的要求选择提供资信证明复印件或投标（磋商）担保函复印件。</w:t>
      </w:r>
    </w:p>
    <w:p>
      <w:pPr>
        <w:pStyle w:val="12"/>
        <w:widowControl/>
        <w:spacing w:before="75" w:beforeAutospacing="0" w:after="75" w:afterAutospacing="0"/>
        <w:ind w:firstLine="420"/>
        <w:rPr>
          <w:rFonts w:ascii="宋体" w:hAnsi="宋体" w:cs="宋体"/>
          <w:color w:val="auto"/>
          <w:sz w:val="21"/>
          <w:szCs w:val="21"/>
          <w:highlight w:val="none"/>
        </w:rPr>
      </w:pPr>
      <w:r>
        <w:rPr>
          <w:rFonts w:hint="eastAsia" w:ascii="宋体" w:hAnsi="宋体" w:cs="宋体"/>
          <w:color w:val="auto"/>
          <w:sz w:val="21"/>
          <w:szCs w:val="21"/>
          <w:highlight w:val="none"/>
        </w:rPr>
        <w:t>3、“财政部门认可的政府采购专业担保机构”应符合《财政部关于开展政府采购信用担保试点工作方案》（财库[2012]124号）的规定。</w:t>
      </w:r>
    </w:p>
    <w:p>
      <w:pPr>
        <w:pStyle w:val="12"/>
        <w:widowControl/>
        <w:spacing w:before="75" w:beforeAutospacing="0" w:after="75" w:afterAutospacing="0"/>
        <w:ind w:firstLine="420"/>
        <w:rPr>
          <w:rFonts w:ascii="宋体" w:hAnsi="宋体" w:cs="宋体"/>
          <w:color w:val="auto"/>
          <w:sz w:val="21"/>
          <w:szCs w:val="21"/>
          <w:highlight w:val="none"/>
        </w:rPr>
      </w:pPr>
      <w:r>
        <w:rPr>
          <w:rFonts w:hint="eastAsia" w:ascii="宋体" w:hAnsi="宋体" w:cs="宋体"/>
          <w:color w:val="auto"/>
          <w:sz w:val="21"/>
          <w:szCs w:val="21"/>
          <w:highlight w:val="none"/>
        </w:rPr>
        <w:t>4、供应商提供的相应证明材料复印件均应符合：内容完整、清晰、整洁，并由供应商加盖其单位公章。</w:t>
      </w:r>
    </w:p>
    <w:p>
      <w:pPr>
        <w:pStyle w:val="12"/>
        <w:widowControl/>
        <w:spacing w:before="75" w:beforeAutospacing="0" w:after="75" w:afterAutospacing="0" w:line="315" w:lineRule="atLeast"/>
        <w:ind w:firstLine="420"/>
        <w:rPr>
          <w:rFonts w:ascii="宋体" w:hAnsi="宋体" w:cs="宋体"/>
          <w:color w:val="auto"/>
          <w:sz w:val="21"/>
          <w:szCs w:val="21"/>
          <w:highlight w:val="none"/>
        </w:rPr>
      </w:pPr>
      <w:r>
        <w:rPr>
          <w:rFonts w:hint="eastAsia" w:ascii="宋体" w:hAnsi="宋体" w:cs="宋体"/>
          <w:color w:val="auto"/>
          <w:sz w:val="21"/>
          <w:szCs w:val="21"/>
          <w:highlight w:val="none"/>
        </w:rPr>
        <w:t>5、对于接受联合体形式的磋商且供应商是联合体的，则联合体各成员都应当提交本资格证明文件。</w:t>
      </w:r>
    </w:p>
    <w:p>
      <w:pPr>
        <w:pStyle w:val="12"/>
        <w:widowControl/>
        <w:spacing w:before="75" w:beforeAutospacing="0" w:after="75" w:afterAutospacing="0" w:line="435" w:lineRule="atLeast"/>
        <w:jc w:val="both"/>
        <w:rPr>
          <w:rFonts w:ascii="宋体" w:hAnsi="宋体" w:cs="宋体"/>
          <w:color w:val="auto"/>
          <w:sz w:val="21"/>
          <w:szCs w:val="21"/>
          <w:highlight w:val="none"/>
        </w:rPr>
      </w:pPr>
      <w:r>
        <w:rPr>
          <w:rStyle w:val="18"/>
          <w:rFonts w:hint="eastAsia" w:ascii="宋体" w:hAnsi="宋体" w:cs="宋体"/>
          <w:color w:val="auto"/>
          <w:sz w:val="21"/>
          <w:szCs w:val="21"/>
          <w:highlight w:val="none"/>
        </w:rPr>
        <w:t> </w:t>
      </w:r>
    </w:p>
    <w:p>
      <w:pPr>
        <w:pStyle w:val="12"/>
        <w:widowControl/>
        <w:spacing w:before="75" w:beforeAutospacing="0" w:after="75" w:afterAutospacing="0" w:line="435" w:lineRule="atLeast"/>
        <w:rPr>
          <w:rFonts w:ascii="宋体" w:hAnsi="宋体" w:cs="宋体"/>
          <w:color w:val="auto"/>
          <w:sz w:val="21"/>
          <w:szCs w:val="21"/>
          <w:highlight w:val="none"/>
        </w:rPr>
      </w:pPr>
      <w:r>
        <w:rPr>
          <w:rStyle w:val="18"/>
          <w:rFonts w:hint="eastAsia" w:ascii="宋体" w:hAnsi="宋体" w:cs="宋体"/>
          <w:color w:val="auto"/>
          <w:sz w:val="21"/>
          <w:szCs w:val="21"/>
          <w:highlight w:val="none"/>
        </w:rPr>
        <w:t> </w:t>
      </w:r>
    </w:p>
    <w:p>
      <w:pPr>
        <w:pStyle w:val="12"/>
        <w:widowControl/>
        <w:spacing w:before="75" w:beforeAutospacing="0" w:after="75" w:afterAutospacing="0" w:line="435" w:lineRule="atLeast"/>
        <w:rPr>
          <w:rFonts w:ascii="宋体" w:hAnsi="宋体" w:cs="宋体"/>
          <w:color w:val="auto"/>
          <w:sz w:val="21"/>
          <w:szCs w:val="21"/>
          <w:highlight w:val="none"/>
        </w:rPr>
      </w:pPr>
      <w:r>
        <w:rPr>
          <w:rFonts w:hint="eastAsia" w:ascii="宋体" w:hAnsi="宋体" w:cs="宋体"/>
          <w:color w:val="auto"/>
          <w:sz w:val="21"/>
          <w:szCs w:val="21"/>
          <w:highlight w:val="none"/>
        </w:rPr>
        <w:t> </w:t>
      </w:r>
    </w:p>
    <w:p>
      <w:pPr>
        <w:pStyle w:val="12"/>
        <w:widowControl/>
        <w:spacing w:before="75" w:beforeAutospacing="0" w:after="75" w:afterAutospacing="0" w:line="435" w:lineRule="atLeast"/>
        <w:jc w:val="both"/>
        <w:rPr>
          <w:rFonts w:ascii="宋体" w:hAnsi="宋体" w:cs="宋体"/>
          <w:color w:val="auto"/>
          <w:sz w:val="21"/>
          <w:szCs w:val="21"/>
          <w:highlight w:val="none"/>
        </w:rPr>
      </w:pPr>
      <w:r>
        <w:rPr>
          <w:rFonts w:hint="eastAsia" w:ascii="宋体" w:hAnsi="宋体" w:cs="宋体"/>
          <w:color w:val="auto"/>
          <w:sz w:val="21"/>
          <w:szCs w:val="21"/>
          <w:highlight w:val="none"/>
        </w:rPr>
        <w:t>供应商代表：</w:t>
      </w:r>
      <w:r>
        <w:rPr>
          <w:rFonts w:hint="eastAsia" w:ascii="宋体" w:hAnsi="宋体" w:cs="宋体"/>
          <w:color w:val="auto"/>
          <w:sz w:val="21"/>
          <w:szCs w:val="21"/>
          <w:highlight w:val="none"/>
          <w:u w:val="single"/>
        </w:rPr>
        <w:t>             （签字） </w:t>
      </w:r>
    </w:p>
    <w:p>
      <w:pPr>
        <w:pStyle w:val="12"/>
        <w:widowControl/>
        <w:spacing w:before="75" w:beforeAutospacing="0" w:after="75" w:afterAutospacing="0" w:line="435" w:lineRule="atLeast"/>
        <w:jc w:val="both"/>
        <w:rPr>
          <w:rFonts w:ascii="宋体" w:hAnsi="宋体" w:cs="宋体"/>
          <w:color w:val="auto"/>
          <w:sz w:val="21"/>
          <w:szCs w:val="21"/>
          <w:highlight w:val="none"/>
        </w:rPr>
      </w:pPr>
      <w:r>
        <w:rPr>
          <w:rFonts w:hint="eastAsia" w:ascii="宋体" w:hAnsi="宋体" w:cs="宋体"/>
          <w:color w:val="auto"/>
          <w:sz w:val="21"/>
          <w:szCs w:val="21"/>
          <w:highlight w:val="none"/>
        </w:rPr>
        <w:t>供应商名称：</w:t>
      </w:r>
      <w:r>
        <w:rPr>
          <w:rFonts w:hint="eastAsia" w:ascii="宋体" w:hAnsi="宋体" w:cs="宋体"/>
          <w:color w:val="auto"/>
          <w:sz w:val="21"/>
          <w:szCs w:val="21"/>
          <w:highlight w:val="none"/>
          <w:u w:val="single"/>
        </w:rPr>
        <w:t>         （全称并加盖公章）              </w:t>
      </w:r>
    </w:p>
    <w:p>
      <w:pPr>
        <w:pStyle w:val="12"/>
        <w:widowControl/>
        <w:spacing w:before="75" w:beforeAutospacing="0" w:after="75" w:afterAutospacing="0" w:line="435" w:lineRule="atLeast"/>
        <w:rPr>
          <w:rFonts w:ascii="宋体" w:hAnsi="宋体" w:cs="宋体"/>
          <w:color w:val="auto"/>
          <w:sz w:val="21"/>
          <w:szCs w:val="21"/>
          <w:highlight w:val="none"/>
        </w:rPr>
      </w:pPr>
      <w:r>
        <w:rPr>
          <w:rFonts w:hint="eastAsia" w:ascii="宋体" w:hAnsi="宋体" w:cs="宋体"/>
          <w:color w:val="auto"/>
          <w:sz w:val="21"/>
          <w:szCs w:val="21"/>
          <w:highlight w:val="none"/>
        </w:rPr>
        <w:t>日  期： </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年 </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月 </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日</w:t>
      </w:r>
    </w:p>
    <w:p>
      <w:pPr>
        <w:pStyle w:val="12"/>
        <w:widowControl/>
        <w:spacing w:before="75" w:beforeAutospacing="0" w:after="75" w:afterAutospacing="0" w:line="435" w:lineRule="atLeast"/>
        <w:rPr>
          <w:rFonts w:ascii="宋体" w:hAnsi="宋体" w:cs="宋体"/>
          <w:color w:val="auto"/>
          <w:sz w:val="21"/>
          <w:szCs w:val="21"/>
          <w:highlight w:val="none"/>
        </w:rPr>
      </w:pPr>
      <w:r>
        <w:rPr>
          <w:rFonts w:hint="eastAsia" w:ascii="宋体" w:hAnsi="宋体" w:cs="宋体"/>
          <w:color w:val="auto"/>
          <w:sz w:val="21"/>
          <w:szCs w:val="21"/>
          <w:highlight w:val="none"/>
        </w:rPr>
        <w:t> </w:t>
      </w:r>
    </w:p>
    <w:p>
      <w:pPr>
        <w:pStyle w:val="12"/>
        <w:widowControl/>
        <w:spacing w:before="75" w:beforeAutospacing="0" w:after="75" w:afterAutospacing="0" w:line="435" w:lineRule="atLeast"/>
        <w:rPr>
          <w:rFonts w:ascii="宋体" w:hAnsi="宋体" w:cs="宋体"/>
          <w:color w:val="auto"/>
          <w:sz w:val="21"/>
          <w:szCs w:val="21"/>
          <w:highlight w:val="none"/>
        </w:rPr>
      </w:pPr>
      <w:r>
        <w:rPr>
          <w:rFonts w:hint="eastAsia" w:ascii="宋体" w:hAnsi="宋体" w:cs="宋体"/>
          <w:color w:val="auto"/>
          <w:sz w:val="21"/>
          <w:szCs w:val="21"/>
          <w:highlight w:val="none"/>
        </w:rPr>
        <w:t> </w:t>
      </w:r>
    </w:p>
    <w:p>
      <w:pPr>
        <w:pStyle w:val="12"/>
        <w:widowControl/>
        <w:spacing w:before="75" w:beforeAutospacing="0" w:after="75" w:afterAutospacing="0" w:line="435" w:lineRule="atLeast"/>
        <w:rPr>
          <w:rFonts w:ascii="宋体" w:hAnsi="宋体" w:cs="宋体"/>
          <w:color w:val="auto"/>
          <w:highlight w:val="none"/>
        </w:rPr>
      </w:pPr>
    </w:p>
    <w:p>
      <w:pPr>
        <w:pStyle w:val="12"/>
        <w:widowControl/>
        <w:spacing w:before="75" w:beforeAutospacing="0" w:after="75" w:afterAutospacing="0" w:line="435" w:lineRule="atLeast"/>
        <w:rPr>
          <w:rFonts w:ascii="宋体" w:hAnsi="宋体" w:cs="宋体"/>
          <w:color w:val="auto"/>
          <w:highlight w:val="none"/>
        </w:rPr>
      </w:pPr>
    </w:p>
    <w:p>
      <w:pPr>
        <w:pStyle w:val="12"/>
        <w:widowControl/>
        <w:spacing w:before="75" w:beforeAutospacing="0" w:after="75" w:afterAutospacing="0" w:line="435" w:lineRule="atLeast"/>
        <w:jc w:val="center"/>
        <w:rPr>
          <w:rFonts w:ascii="宋体" w:hAnsi="宋体" w:cs="宋体"/>
          <w:color w:val="auto"/>
          <w:highlight w:val="none"/>
        </w:rPr>
      </w:pPr>
      <w:r>
        <w:rPr>
          <w:rFonts w:hint="eastAsia" w:ascii="宋体" w:hAnsi="宋体" w:cs="宋体"/>
          <w:color w:val="auto"/>
          <w:highlight w:val="none"/>
        </w:rPr>
        <w:br w:type="page"/>
      </w:r>
      <w:r>
        <w:rPr>
          <w:rFonts w:hint="eastAsia" w:ascii="宋体" w:hAnsi="宋体" w:cs="宋体"/>
          <w:b/>
          <w:bCs/>
          <w:color w:val="auto"/>
          <w:highlight w:val="none"/>
        </w:rPr>
        <w:t>附件3-6   </w:t>
      </w:r>
      <w:r>
        <w:rPr>
          <w:rStyle w:val="18"/>
          <w:rFonts w:hint="eastAsia" w:ascii="宋体" w:hAnsi="宋体" w:cs="宋体"/>
          <w:bCs/>
          <w:color w:val="auto"/>
          <w:highlight w:val="none"/>
        </w:rPr>
        <w:t>依法缴纳税收证明材料</w:t>
      </w:r>
    </w:p>
    <w:p>
      <w:pPr>
        <w:pStyle w:val="12"/>
        <w:widowControl/>
        <w:spacing w:before="75" w:beforeAutospacing="0" w:after="75" w:afterAutospacing="0" w:line="435" w:lineRule="atLeast"/>
        <w:rPr>
          <w:rFonts w:ascii="宋体" w:hAnsi="宋体" w:cs="宋体"/>
          <w:color w:val="auto"/>
          <w:highlight w:val="none"/>
        </w:rPr>
      </w:pPr>
      <w:r>
        <w:rPr>
          <w:rFonts w:hint="eastAsia" w:ascii="宋体" w:hAnsi="宋体" w:cs="宋体"/>
          <w:color w:val="auto"/>
          <w:highlight w:val="none"/>
        </w:rPr>
        <w:t> </w:t>
      </w:r>
    </w:p>
    <w:p>
      <w:pPr>
        <w:pStyle w:val="12"/>
        <w:widowControl/>
        <w:spacing w:before="75" w:beforeAutospacing="0" w:after="75" w:afterAutospacing="0"/>
        <w:rPr>
          <w:rFonts w:ascii="宋体" w:hAnsi="宋体" w:cs="宋体"/>
          <w:color w:val="auto"/>
          <w:sz w:val="21"/>
          <w:szCs w:val="21"/>
          <w:highlight w:val="none"/>
        </w:rPr>
      </w:pPr>
      <w:r>
        <w:rPr>
          <w:rFonts w:hint="eastAsia" w:ascii="宋体" w:hAnsi="宋体" w:cs="宋体"/>
          <w:color w:val="auto"/>
          <w:sz w:val="21"/>
          <w:szCs w:val="21"/>
          <w:highlight w:val="none"/>
        </w:rPr>
        <w:t>致：</w:t>
      </w:r>
      <w:r>
        <w:rPr>
          <w:rFonts w:hint="eastAsia" w:ascii="宋体" w:hAnsi="宋体" w:cs="宋体"/>
          <w:color w:val="auto"/>
          <w:sz w:val="21"/>
          <w:szCs w:val="21"/>
          <w:highlight w:val="none"/>
          <w:u w:val="single"/>
        </w:rPr>
        <w:t>宁德市有信产权交易服务有限公司</w:t>
      </w:r>
    </w:p>
    <w:p>
      <w:pPr>
        <w:pStyle w:val="12"/>
        <w:widowControl/>
        <w:spacing w:before="75" w:beforeAutospacing="0" w:after="75" w:afterAutospacing="0"/>
        <w:ind w:firstLine="420"/>
        <w:rPr>
          <w:rFonts w:ascii="宋体" w:hAnsi="宋体" w:cs="宋体"/>
          <w:color w:val="auto"/>
          <w:sz w:val="21"/>
          <w:szCs w:val="21"/>
          <w:highlight w:val="none"/>
        </w:rPr>
      </w:pPr>
      <w:bookmarkStart w:id="30" w:name="_Toc7047_WPSOffice_Level1"/>
      <w:r>
        <w:rPr>
          <w:rStyle w:val="18"/>
          <w:rFonts w:hint="eastAsia" w:ascii="宋体" w:hAnsi="宋体" w:cs="宋体"/>
          <w:color w:val="auto"/>
          <w:sz w:val="21"/>
          <w:szCs w:val="21"/>
          <w:highlight w:val="none"/>
        </w:rPr>
        <w:t>1、依法缴纳税收的供应商</w:t>
      </w:r>
      <w:bookmarkEnd w:id="30"/>
    </w:p>
    <w:p>
      <w:pPr>
        <w:pStyle w:val="12"/>
        <w:widowControl/>
        <w:spacing w:before="75" w:beforeAutospacing="0" w:after="75" w:afterAutospacing="0"/>
        <w:ind w:firstLine="420"/>
        <w:rPr>
          <w:rFonts w:ascii="宋体" w:hAnsi="宋体" w:cs="宋体"/>
          <w:color w:val="auto"/>
          <w:sz w:val="21"/>
          <w:szCs w:val="21"/>
          <w:highlight w:val="none"/>
        </w:rPr>
      </w:pPr>
      <w:r>
        <w:rPr>
          <w:rFonts w:hint="eastAsia" w:ascii="宋体" w:hAnsi="宋体" w:cs="宋体"/>
          <w:color w:val="auto"/>
          <w:sz w:val="21"/>
          <w:szCs w:val="21"/>
          <w:highlight w:val="none"/>
        </w:rPr>
        <w:t>（ ）法人（包括企业、事业单位和社会团体）的</w:t>
      </w:r>
    </w:p>
    <w:p>
      <w:pPr>
        <w:pStyle w:val="12"/>
        <w:widowControl/>
        <w:spacing w:before="75" w:beforeAutospacing="0" w:after="75" w:afterAutospacing="0"/>
        <w:ind w:firstLine="420"/>
        <w:rPr>
          <w:rFonts w:ascii="宋体" w:hAnsi="宋体" w:cs="宋体"/>
          <w:color w:val="auto"/>
          <w:sz w:val="21"/>
          <w:szCs w:val="21"/>
          <w:highlight w:val="none"/>
        </w:rPr>
      </w:pPr>
      <w:r>
        <w:rPr>
          <w:rFonts w:hint="eastAsia" w:ascii="宋体" w:hAnsi="宋体" w:cs="宋体"/>
          <w:color w:val="auto"/>
          <w:sz w:val="21"/>
          <w:szCs w:val="21"/>
          <w:highlight w:val="none"/>
        </w:rPr>
        <w:t>现附上自</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年</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月</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日至</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年</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月</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日期间我方缴纳的</w:t>
      </w:r>
      <w:r>
        <w:rPr>
          <w:rFonts w:hint="eastAsia" w:ascii="宋体" w:hAnsi="宋体" w:cs="宋体"/>
          <w:color w:val="auto"/>
          <w:sz w:val="21"/>
          <w:szCs w:val="21"/>
          <w:highlight w:val="none"/>
          <w:u w:val="single"/>
        </w:rPr>
        <w:t>（按照供应商实际缴纳的税种名称填写，如：增值税、所得税等）</w:t>
      </w:r>
      <w:r>
        <w:rPr>
          <w:rFonts w:hint="eastAsia" w:ascii="宋体" w:hAnsi="宋体" w:cs="宋体"/>
          <w:color w:val="auto"/>
          <w:sz w:val="21"/>
          <w:szCs w:val="21"/>
          <w:highlight w:val="none"/>
        </w:rPr>
        <w:t>税收凭据复印件，上述证明材料真实有效，否则我方负全部责任。</w:t>
      </w:r>
    </w:p>
    <w:p>
      <w:pPr>
        <w:pStyle w:val="12"/>
        <w:widowControl/>
        <w:spacing w:before="75" w:beforeAutospacing="0" w:after="75" w:afterAutospacing="0"/>
        <w:ind w:firstLine="420"/>
        <w:rPr>
          <w:rFonts w:ascii="宋体" w:hAnsi="宋体" w:cs="宋体"/>
          <w:color w:val="auto"/>
          <w:sz w:val="21"/>
          <w:szCs w:val="21"/>
          <w:highlight w:val="none"/>
        </w:rPr>
      </w:pPr>
      <w:r>
        <w:rPr>
          <w:rFonts w:hint="eastAsia" w:ascii="宋体" w:hAnsi="宋体" w:cs="宋体"/>
          <w:color w:val="auto"/>
          <w:sz w:val="21"/>
          <w:szCs w:val="21"/>
          <w:highlight w:val="none"/>
        </w:rPr>
        <w:t>（ ）非法人（包括其他组织、自然人）的</w:t>
      </w:r>
    </w:p>
    <w:p>
      <w:pPr>
        <w:pStyle w:val="12"/>
        <w:widowControl/>
        <w:spacing w:before="75" w:beforeAutospacing="0" w:after="75" w:afterAutospacing="0"/>
        <w:ind w:firstLine="420"/>
        <w:rPr>
          <w:rFonts w:ascii="宋体" w:hAnsi="宋体" w:cs="宋体"/>
          <w:color w:val="auto"/>
          <w:sz w:val="21"/>
          <w:szCs w:val="21"/>
          <w:highlight w:val="none"/>
        </w:rPr>
      </w:pPr>
      <w:r>
        <w:rPr>
          <w:rFonts w:hint="eastAsia" w:ascii="宋体" w:hAnsi="宋体" w:cs="宋体"/>
          <w:color w:val="auto"/>
          <w:sz w:val="21"/>
          <w:szCs w:val="21"/>
          <w:highlight w:val="none"/>
        </w:rPr>
        <w:t>现附上自</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年</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月</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日至</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年</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月</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日期间我方缴纳的</w:t>
      </w:r>
      <w:r>
        <w:rPr>
          <w:rFonts w:hint="eastAsia" w:ascii="宋体" w:hAnsi="宋体" w:cs="宋体"/>
          <w:color w:val="auto"/>
          <w:sz w:val="21"/>
          <w:szCs w:val="21"/>
          <w:highlight w:val="none"/>
          <w:u w:val="single"/>
        </w:rPr>
        <w:t>（按照供应商实际缴纳的税种名称填写）</w:t>
      </w:r>
      <w:r>
        <w:rPr>
          <w:rFonts w:hint="eastAsia" w:ascii="宋体" w:hAnsi="宋体" w:cs="宋体"/>
          <w:color w:val="auto"/>
          <w:sz w:val="21"/>
          <w:szCs w:val="21"/>
          <w:highlight w:val="none"/>
        </w:rPr>
        <w:t>税收凭据复印件，上述证明材料真实有效，否则我方负全部责任。</w:t>
      </w:r>
    </w:p>
    <w:p>
      <w:pPr>
        <w:pStyle w:val="12"/>
        <w:widowControl/>
        <w:spacing w:before="75" w:beforeAutospacing="0" w:after="75" w:afterAutospacing="0"/>
        <w:ind w:firstLine="420"/>
        <w:rPr>
          <w:rFonts w:ascii="宋体" w:hAnsi="宋体" w:cs="宋体"/>
          <w:color w:val="auto"/>
          <w:sz w:val="21"/>
          <w:szCs w:val="21"/>
          <w:highlight w:val="none"/>
        </w:rPr>
      </w:pPr>
      <w:bookmarkStart w:id="31" w:name="_Toc11600_WPSOffice_Level1"/>
      <w:r>
        <w:rPr>
          <w:rStyle w:val="18"/>
          <w:rFonts w:hint="eastAsia" w:ascii="宋体" w:hAnsi="宋体" w:cs="宋体"/>
          <w:color w:val="auto"/>
          <w:sz w:val="21"/>
          <w:szCs w:val="21"/>
          <w:highlight w:val="none"/>
        </w:rPr>
        <w:t>2、依法免税的供应商</w:t>
      </w:r>
      <w:bookmarkEnd w:id="31"/>
    </w:p>
    <w:p>
      <w:pPr>
        <w:pStyle w:val="12"/>
        <w:widowControl/>
        <w:spacing w:before="75" w:beforeAutospacing="0" w:after="75" w:afterAutospacing="0"/>
        <w:ind w:firstLine="420"/>
        <w:rPr>
          <w:rFonts w:ascii="宋体" w:hAnsi="宋体" w:cs="宋体"/>
          <w:color w:val="auto"/>
          <w:sz w:val="21"/>
          <w:szCs w:val="21"/>
          <w:highlight w:val="none"/>
        </w:rPr>
      </w:pPr>
      <w:r>
        <w:rPr>
          <w:rFonts w:hint="eastAsia" w:ascii="宋体" w:hAnsi="宋体" w:cs="宋体"/>
          <w:color w:val="auto"/>
          <w:sz w:val="21"/>
          <w:szCs w:val="21"/>
          <w:highlight w:val="none"/>
        </w:rPr>
        <w:t>（ ）现附上我方依法免税证明材料复印件，上述证明材料真实有效，否则我方负全部责任。</w:t>
      </w:r>
    </w:p>
    <w:p>
      <w:pPr>
        <w:pStyle w:val="12"/>
        <w:widowControl/>
        <w:spacing w:before="75" w:beforeAutospacing="0" w:after="75" w:afterAutospacing="0"/>
        <w:rPr>
          <w:rFonts w:ascii="宋体" w:hAnsi="宋体" w:cs="宋体"/>
          <w:color w:val="auto"/>
          <w:sz w:val="21"/>
          <w:szCs w:val="21"/>
          <w:highlight w:val="none"/>
        </w:rPr>
      </w:pPr>
      <w:r>
        <w:rPr>
          <w:rFonts w:hint="eastAsia" w:ascii="宋体" w:hAnsi="宋体" w:cs="宋体"/>
          <w:color w:val="auto"/>
          <w:sz w:val="21"/>
          <w:szCs w:val="21"/>
          <w:highlight w:val="none"/>
        </w:rPr>
        <w:t>※注意：</w:t>
      </w:r>
    </w:p>
    <w:p>
      <w:pPr>
        <w:pStyle w:val="12"/>
        <w:widowControl/>
        <w:spacing w:before="75" w:beforeAutospacing="0" w:after="75" w:afterAutospacing="0"/>
        <w:rPr>
          <w:rFonts w:ascii="宋体" w:hAnsi="宋体" w:cs="宋体"/>
          <w:color w:val="auto"/>
          <w:sz w:val="21"/>
          <w:szCs w:val="21"/>
          <w:highlight w:val="none"/>
        </w:rPr>
      </w:pPr>
      <w:r>
        <w:rPr>
          <w:rFonts w:hint="eastAsia" w:ascii="宋体" w:hAnsi="宋体" w:cs="宋体"/>
          <w:color w:val="auto"/>
          <w:sz w:val="21"/>
          <w:szCs w:val="21"/>
          <w:highlight w:val="none"/>
        </w:rPr>
        <w:t>1、请供应商根据实际情况填写，在相应的（）中打“√”，并按照本格式的要求提供相应证明材料的复印件。</w:t>
      </w:r>
    </w:p>
    <w:p>
      <w:pPr>
        <w:pStyle w:val="12"/>
        <w:widowControl/>
        <w:spacing w:before="75" w:beforeAutospacing="0" w:after="75" w:afterAutospacing="0"/>
        <w:rPr>
          <w:rFonts w:ascii="宋体" w:hAnsi="宋体" w:cs="宋体"/>
          <w:color w:val="auto"/>
          <w:sz w:val="21"/>
          <w:szCs w:val="21"/>
          <w:highlight w:val="none"/>
        </w:rPr>
      </w:pPr>
      <w:r>
        <w:rPr>
          <w:rFonts w:hint="eastAsia" w:ascii="宋体" w:hAnsi="宋体" w:cs="宋体"/>
          <w:color w:val="auto"/>
          <w:sz w:val="21"/>
          <w:szCs w:val="21"/>
          <w:highlight w:val="none"/>
        </w:rPr>
        <w:t>2、供应商提供的税收凭据复印件应符合下列规定：</w:t>
      </w:r>
    </w:p>
    <w:p>
      <w:pPr>
        <w:pStyle w:val="12"/>
        <w:widowControl/>
        <w:spacing w:before="75" w:beforeAutospacing="0" w:after="75" w:afterAutospacing="0"/>
        <w:rPr>
          <w:rFonts w:ascii="宋体" w:hAnsi="宋体" w:cs="宋体"/>
          <w:color w:val="auto"/>
          <w:sz w:val="21"/>
          <w:szCs w:val="21"/>
          <w:highlight w:val="none"/>
        </w:rPr>
      </w:pPr>
      <w:r>
        <w:rPr>
          <w:rFonts w:hint="eastAsia" w:ascii="宋体" w:hAnsi="宋体" w:cs="宋体"/>
          <w:color w:val="auto"/>
          <w:sz w:val="21"/>
          <w:szCs w:val="21"/>
          <w:highlight w:val="none"/>
        </w:rPr>
        <w:t>2.1首次响应文件递交截止时间前（不含截止时间的当月）已依法缴纳税收的供应商，提供首次响应文件递交截止时间前六个月（不含截止时间的当月）中任一月份的税收凭据复印件。</w:t>
      </w:r>
    </w:p>
    <w:p>
      <w:pPr>
        <w:pStyle w:val="12"/>
        <w:widowControl/>
        <w:spacing w:before="75" w:beforeAutospacing="0" w:after="75" w:afterAutospacing="0"/>
        <w:rPr>
          <w:rFonts w:ascii="宋体" w:hAnsi="宋体" w:cs="宋体"/>
          <w:color w:val="auto"/>
          <w:sz w:val="21"/>
          <w:szCs w:val="21"/>
          <w:highlight w:val="none"/>
        </w:rPr>
      </w:pPr>
      <w:r>
        <w:rPr>
          <w:rFonts w:hint="eastAsia" w:ascii="宋体" w:hAnsi="宋体" w:cs="宋体"/>
          <w:color w:val="auto"/>
          <w:sz w:val="21"/>
          <w:szCs w:val="21"/>
          <w:highlight w:val="none"/>
        </w:rPr>
        <w:t>2.2首次响应文件递交截止时间的当月成立且已依法缴纳税收的供应商，提供截止时间当月的税收凭据复印件。</w:t>
      </w:r>
    </w:p>
    <w:p>
      <w:pPr>
        <w:pStyle w:val="12"/>
        <w:widowControl/>
        <w:spacing w:before="75" w:beforeAutospacing="0" w:after="75" w:afterAutospacing="0"/>
        <w:rPr>
          <w:rFonts w:ascii="宋体" w:hAnsi="宋体" w:cs="宋体"/>
          <w:color w:val="auto"/>
          <w:sz w:val="21"/>
          <w:szCs w:val="21"/>
          <w:highlight w:val="none"/>
        </w:rPr>
      </w:pPr>
      <w:r>
        <w:rPr>
          <w:rFonts w:hint="eastAsia" w:ascii="宋体" w:hAnsi="宋体" w:cs="宋体"/>
          <w:color w:val="auto"/>
          <w:sz w:val="21"/>
          <w:szCs w:val="21"/>
          <w:highlight w:val="none"/>
        </w:rPr>
        <w:t>2.3首次响应文件递交截止时间的当月成立但因税务机关原因而尚未依法缴纳税收的供应商，提供依法缴纳税收承诺书原件（格式自拟），该承诺书视同税收凭据。</w:t>
      </w:r>
    </w:p>
    <w:p>
      <w:pPr>
        <w:pStyle w:val="12"/>
        <w:widowControl/>
        <w:spacing w:before="75" w:beforeAutospacing="0" w:after="75" w:afterAutospacing="0"/>
        <w:rPr>
          <w:rFonts w:ascii="宋体" w:hAnsi="宋体" w:cs="宋体"/>
          <w:color w:val="auto"/>
          <w:sz w:val="21"/>
          <w:szCs w:val="21"/>
          <w:highlight w:val="none"/>
        </w:rPr>
      </w:pPr>
      <w:r>
        <w:rPr>
          <w:rFonts w:hint="eastAsia" w:ascii="宋体" w:hAnsi="宋体" w:cs="宋体"/>
          <w:color w:val="auto"/>
          <w:sz w:val="21"/>
          <w:szCs w:val="21"/>
          <w:highlight w:val="none"/>
        </w:rPr>
        <w:t>3、供应商提供的相应证明材料复印件均应符合：内容完整、清晰、整洁，并由供应商加盖其单位公章。</w:t>
      </w:r>
    </w:p>
    <w:p>
      <w:pPr>
        <w:pStyle w:val="12"/>
        <w:widowControl/>
        <w:spacing w:before="75" w:beforeAutospacing="0" w:after="75" w:afterAutospacing="0"/>
        <w:rPr>
          <w:rFonts w:ascii="宋体" w:hAnsi="宋体" w:cs="宋体"/>
          <w:color w:val="auto"/>
          <w:sz w:val="21"/>
          <w:szCs w:val="21"/>
          <w:highlight w:val="none"/>
        </w:rPr>
      </w:pPr>
      <w:r>
        <w:rPr>
          <w:rFonts w:hint="eastAsia" w:ascii="宋体" w:hAnsi="宋体" w:cs="宋体"/>
          <w:color w:val="auto"/>
          <w:sz w:val="21"/>
          <w:szCs w:val="21"/>
          <w:highlight w:val="none"/>
        </w:rPr>
        <w:t>4、</w:t>
      </w:r>
      <w:r>
        <w:rPr>
          <w:rStyle w:val="18"/>
          <w:rFonts w:hint="eastAsia" w:ascii="宋体" w:hAnsi="宋体" w:cs="宋体"/>
          <w:color w:val="auto"/>
          <w:sz w:val="21"/>
          <w:szCs w:val="21"/>
          <w:highlight w:val="none"/>
        </w:rPr>
        <w:t>“依法缴纳税收证明材料”</w:t>
      </w:r>
      <w:r>
        <w:rPr>
          <w:rFonts w:hint="eastAsia" w:ascii="宋体" w:hAnsi="宋体" w:cs="宋体"/>
          <w:color w:val="auto"/>
          <w:sz w:val="21"/>
          <w:szCs w:val="21"/>
          <w:highlight w:val="none"/>
        </w:rPr>
        <w:t>有欠缴记录的，视为</w:t>
      </w:r>
      <w:r>
        <w:rPr>
          <w:rStyle w:val="18"/>
          <w:rFonts w:hint="eastAsia" w:ascii="宋体" w:hAnsi="宋体" w:cs="宋体"/>
          <w:color w:val="auto"/>
          <w:sz w:val="21"/>
          <w:szCs w:val="21"/>
          <w:highlight w:val="none"/>
        </w:rPr>
        <w:t>未依法缴纳税收</w:t>
      </w:r>
      <w:r>
        <w:rPr>
          <w:rFonts w:hint="eastAsia" w:ascii="宋体" w:hAnsi="宋体" w:cs="宋体"/>
          <w:color w:val="auto"/>
          <w:sz w:val="21"/>
          <w:szCs w:val="21"/>
          <w:highlight w:val="none"/>
        </w:rPr>
        <w:t>。</w:t>
      </w:r>
    </w:p>
    <w:p>
      <w:pPr>
        <w:pStyle w:val="12"/>
        <w:widowControl/>
        <w:spacing w:before="75" w:beforeAutospacing="0" w:after="75" w:afterAutospacing="0" w:line="315" w:lineRule="atLeast"/>
        <w:rPr>
          <w:rFonts w:ascii="宋体" w:hAnsi="宋体" w:cs="宋体"/>
          <w:color w:val="auto"/>
          <w:sz w:val="21"/>
          <w:szCs w:val="21"/>
          <w:highlight w:val="none"/>
        </w:rPr>
      </w:pPr>
      <w:r>
        <w:rPr>
          <w:rFonts w:hint="eastAsia" w:ascii="宋体" w:hAnsi="宋体" w:cs="宋体"/>
          <w:color w:val="auto"/>
          <w:sz w:val="21"/>
          <w:szCs w:val="21"/>
          <w:highlight w:val="none"/>
        </w:rPr>
        <w:t>5、对于接受联合体形式的磋商且供应商是联合体的，则联合体各成员都应当提交本资格证明文件。</w:t>
      </w:r>
    </w:p>
    <w:p>
      <w:pPr>
        <w:widowControl/>
        <w:spacing w:before="100" w:beforeAutospacing="1" w:after="100" w:afterAutospacing="1" w:line="400" w:lineRule="exact"/>
        <w:jc w:val="left"/>
        <w:rPr>
          <w:rFonts w:ascii="宋体" w:hAnsi="宋体" w:cs="宋体"/>
          <w:b/>
          <w:bCs/>
          <w:color w:val="auto"/>
          <w:kern w:val="0"/>
          <w:szCs w:val="21"/>
          <w:highlight w:val="none"/>
          <w:lang w:bidi="ar"/>
        </w:rPr>
      </w:pPr>
      <w:r>
        <w:rPr>
          <w:rFonts w:hint="eastAsia" w:ascii="宋体" w:hAnsi="宋体" w:cs="宋体"/>
          <w:b/>
          <w:bCs/>
          <w:color w:val="auto"/>
          <w:kern w:val="0"/>
          <w:szCs w:val="21"/>
          <w:highlight w:val="none"/>
          <w:lang w:bidi="ar"/>
        </w:rPr>
        <w:t>6、因疫情影响享受缓缴或免缴社保资金、税款的企业，无法提供相关社保、税收缴纳证明材料的，提供有关情况说明视同社保、税收缴纳证明材料提交完整。供应商须对相关情况说明的真实性负责。</w:t>
      </w:r>
    </w:p>
    <w:p>
      <w:pPr>
        <w:pStyle w:val="12"/>
        <w:widowControl/>
        <w:spacing w:before="75" w:beforeAutospacing="0" w:after="75" w:afterAutospacing="0" w:line="435" w:lineRule="atLeast"/>
        <w:rPr>
          <w:rFonts w:ascii="宋体" w:hAnsi="宋体" w:cs="宋体"/>
          <w:color w:val="auto"/>
          <w:sz w:val="21"/>
          <w:szCs w:val="21"/>
          <w:highlight w:val="none"/>
        </w:rPr>
      </w:pPr>
    </w:p>
    <w:p>
      <w:pPr>
        <w:pStyle w:val="12"/>
        <w:widowControl/>
        <w:spacing w:before="75" w:beforeAutospacing="0" w:after="75" w:afterAutospacing="0" w:line="435" w:lineRule="atLeast"/>
        <w:rPr>
          <w:rFonts w:ascii="宋体" w:hAnsi="宋体" w:cs="宋体"/>
          <w:color w:val="auto"/>
          <w:sz w:val="21"/>
          <w:szCs w:val="21"/>
          <w:highlight w:val="none"/>
        </w:rPr>
      </w:pPr>
      <w:r>
        <w:rPr>
          <w:rFonts w:hint="eastAsia" w:ascii="宋体" w:hAnsi="宋体" w:cs="宋体"/>
          <w:color w:val="auto"/>
          <w:sz w:val="21"/>
          <w:szCs w:val="21"/>
          <w:highlight w:val="none"/>
        </w:rPr>
        <w:t>供应商代表：</w:t>
      </w:r>
      <w:r>
        <w:rPr>
          <w:rFonts w:hint="eastAsia" w:ascii="宋体" w:hAnsi="宋体" w:cs="宋体"/>
          <w:color w:val="auto"/>
          <w:sz w:val="21"/>
          <w:szCs w:val="21"/>
          <w:highlight w:val="none"/>
          <w:u w:val="single"/>
        </w:rPr>
        <w:t>             （签字） </w:t>
      </w:r>
    </w:p>
    <w:p>
      <w:pPr>
        <w:pStyle w:val="12"/>
        <w:widowControl/>
        <w:spacing w:before="75" w:beforeAutospacing="0" w:after="75" w:afterAutospacing="0" w:line="435" w:lineRule="atLeast"/>
        <w:jc w:val="both"/>
        <w:rPr>
          <w:rFonts w:ascii="宋体" w:hAnsi="宋体" w:cs="宋体"/>
          <w:color w:val="auto"/>
          <w:sz w:val="21"/>
          <w:szCs w:val="21"/>
          <w:highlight w:val="none"/>
        </w:rPr>
      </w:pPr>
      <w:r>
        <w:rPr>
          <w:rFonts w:hint="eastAsia" w:ascii="宋体" w:hAnsi="宋体" w:cs="宋体"/>
          <w:color w:val="auto"/>
          <w:sz w:val="21"/>
          <w:szCs w:val="21"/>
          <w:highlight w:val="none"/>
        </w:rPr>
        <w:t>供应商名称：</w:t>
      </w:r>
      <w:r>
        <w:rPr>
          <w:rFonts w:hint="eastAsia" w:ascii="宋体" w:hAnsi="宋体" w:cs="宋体"/>
          <w:color w:val="auto"/>
          <w:sz w:val="21"/>
          <w:szCs w:val="21"/>
          <w:highlight w:val="none"/>
          <w:u w:val="single"/>
        </w:rPr>
        <w:t>         （全称并加盖公章）              </w:t>
      </w:r>
    </w:p>
    <w:p>
      <w:pPr>
        <w:pStyle w:val="12"/>
        <w:widowControl/>
        <w:spacing w:before="75" w:beforeAutospacing="0" w:after="75" w:afterAutospacing="0"/>
        <w:rPr>
          <w:rFonts w:ascii="宋体" w:hAnsi="宋体" w:cs="宋体"/>
          <w:color w:val="auto"/>
          <w:sz w:val="21"/>
          <w:szCs w:val="21"/>
          <w:highlight w:val="none"/>
        </w:rPr>
      </w:pPr>
      <w:r>
        <w:rPr>
          <w:rFonts w:hint="eastAsia" w:ascii="宋体" w:hAnsi="宋体" w:cs="宋体"/>
          <w:color w:val="auto"/>
          <w:sz w:val="21"/>
          <w:szCs w:val="21"/>
          <w:highlight w:val="none"/>
        </w:rPr>
        <w:t>日  期： </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年 </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月 </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日</w:t>
      </w:r>
    </w:p>
    <w:p>
      <w:pPr>
        <w:pStyle w:val="12"/>
        <w:widowControl/>
        <w:spacing w:before="75" w:beforeAutospacing="0" w:after="75" w:afterAutospacing="0" w:line="435" w:lineRule="atLeast"/>
        <w:rPr>
          <w:rFonts w:ascii="宋体" w:hAnsi="宋体" w:cs="宋体"/>
          <w:color w:val="auto"/>
          <w:sz w:val="21"/>
          <w:szCs w:val="21"/>
          <w:highlight w:val="none"/>
        </w:rPr>
      </w:pPr>
      <w:r>
        <w:rPr>
          <w:rFonts w:hint="eastAsia" w:ascii="宋体" w:hAnsi="宋体" w:cs="宋体"/>
          <w:color w:val="auto"/>
          <w:sz w:val="21"/>
          <w:szCs w:val="21"/>
          <w:highlight w:val="none"/>
        </w:rPr>
        <w:t> </w:t>
      </w:r>
    </w:p>
    <w:p>
      <w:pPr>
        <w:pStyle w:val="12"/>
        <w:widowControl/>
        <w:spacing w:before="75" w:beforeAutospacing="0" w:after="75" w:afterAutospacing="0" w:line="435" w:lineRule="atLeast"/>
        <w:jc w:val="center"/>
        <w:rPr>
          <w:rFonts w:ascii="宋体" w:hAnsi="宋体" w:cs="宋体"/>
          <w:color w:val="auto"/>
          <w:sz w:val="21"/>
          <w:szCs w:val="21"/>
          <w:highlight w:val="none"/>
        </w:rPr>
      </w:pPr>
      <w:bookmarkStart w:id="32" w:name="_Toc4678_WPSOffice_Level1"/>
      <w:r>
        <w:rPr>
          <w:rFonts w:hint="eastAsia" w:ascii="宋体" w:hAnsi="宋体" w:cs="宋体"/>
          <w:color w:val="auto"/>
          <w:sz w:val="21"/>
          <w:szCs w:val="21"/>
          <w:highlight w:val="none"/>
        </w:rPr>
        <w:br w:type="page"/>
      </w:r>
      <w:r>
        <w:rPr>
          <w:rFonts w:hint="eastAsia" w:ascii="宋体" w:hAnsi="宋体" w:cs="宋体"/>
          <w:b/>
          <w:bCs/>
          <w:color w:val="auto"/>
          <w:sz w:val="21"/>
          <w:szCs w:val="21"/>
          <w:highlight w:val="none"/>
        </w:rPr>
        <w:t>附件3-7   </w:t>
      </w:r>
      <w:r>
        <w:rPr>
          <w:rStyle w:val="18"/>
          <w:rFonts w:hint="eastAsia" w:ascii="宋体" w:hAnsi="宋体" w:cs="宋体"/>
          <w:bCs/>
          <w:color w:val="auto"/>
          <w:sz w:val="21"/>
          <w:szCs w:val="21"/>
          <w:highlight w:val="none"/>
        </w:rPr>
        <w:t>依法缴纳社会保障资金证明材料</w:t>
      </w:r>
      <w:bookmarkEnd w:id="32"/>
    </w:p>
    <w:p>
      <w:pPr>
        <w:pStyle w:val="12"/>
        <w:widowControl/>
        <w:spacing w:before="75" w:beforeAutospacing="0" w:after="75" w:afterAutospacing="0" w:line="435" w:lineRule="atLeast"/>
        <w:rPr>
          <w:rFonts w:ascii="宋体" w:hAnsi="宋体" w:cs="宋体"/>
          <w:color w:val="auto"/>
          <w:sz w:val="21"/>
          <w:szCs w:val="21"/>
          <w:highlight w:val="none"/>
        </w:rPr>
      </w:pPr>
      <w:r>
        <w:rPr>
          <w:rFonts w:hint="eastAsia" w:ascii="宋体" w:hAnsi="宋体" w:cs="宋体"/>
          <w:color w:val="auto"/>
          <w:sz w:val="21"/>
          <w:szCs w:val="21"/>
          <w:highlight w:val="none"/>
        </w:rPr>
        <w:t> </w:t>
      </w:r>
    </w:p>
    <w:p>
      <w:pPr>
        <w:pStyle w:val="12"/>
        <w:widowControl/>
        <w:spacing w:before="75" w:beforeAutospacing="0" w:after="75" w:afterAutospacing="0" w:line="435" w:lineRule="atLeast"/>
        <w:rPr>
          <w:rFonts w:ascii="宋体" w:hAnsi="宋体" w:cs="宋体"/>
          <w:color w:val="auto"/>
          <w:sz w:val="21"/>
          <w:szCs w:val="21"/>
          <w:highlight w:val="none"/>
        </w:rPr>
      </w:pPr>
      <w:r>
        <w:rPr>
          <w:rFonts w:hint="eastAsia" w:ascii="宋体" w:hAnsi="宋体" w:cs="宋体"/>
          <w:color w:val="auto"/>
          <w:sz w:val="21"/>
          <w:szCs w:val="21"/>
          <w:highlight w:val="none"/>
        </w:rPr>
        <w:t>致：</w:t>
      </w:r>
      <w:r>
        <w:rPr>
          <w:rFonts w:hint="eastAsia" w:ascii="宋体" w:hAnsi="宋体" w:cs="宋体"/>
          <w:color w:val="auto"/>
          <w:sz w:val="21"/>
          <w:szCs w:val="21"/>
          <w:highlight w:val="none"/>
          <w:u w:val="single"/>
        </w:rPr>
        <w:t>宁德市有信产权交易服务有限公司</w:t>
      </w:r>
    </w:p>
    <w:p>
      <w:pPr>
        <w:pStyle w:val="12"/>
        <w:widowControl/>
        <w:spacing w:before="75" w:beforeAutospacing="0" w:after="75" w:afterAutospacing="0"/>
        <w:ind w:firstLine="480"/>
        <w:rPr>
          <w:rFonts w:ascii="宋体" w:hAnsi="宋体" w:cs="宋体"/>
          <w:color w:val="auto"/>
          <w:sz w:val="21"/>
          <w:szCs w:val="21"/>
          <w:highlight w:val="none"/>
        </w:rPr>
      </w:pPr>
      <w:bookmarkStart w:id="33" w:name="_Toc4900_WPSOffice_Level1"/>
      <w:r>
        <w:rPr>
          <w:rStyle w:val="18"/>
          <w:rFonts w:hint="eastAsia" w:ascii="宋体" w:hAnsi="宋体" w:cs="宋体"/>
          <w:color w:val="auto"/>
          <w:sz w:val="21"/>
          <w:szCs w:val="21"/>
          <w:highlight w:val="none"/>
        </w:rPr>
        <w:t>1、依法缴纳社会保障资金的供应商</w:t>
      </w:r>
      <w:bookmarkEnd w:id="33"/>
    </w:p>
    <w:p>
      <w:pPr>
        <w:pStyle w:val="12"/>
        <w:widowControl/>
        <w:spacing w:before="75" w:beforeAutospacing="0" w:after="75" w:afterAutospacing="0"/>
        <w:ind w:firstLine="420"/>
        <w:rPr>
          <w:rFonts w:ascii="宋体" w:hAnsi="宋体" w:cs="宋体"/>
          <w:color w:val="auto"/>
          <w:sz w:val="21"/>
          <w:szCs w:val="21"/>
          <w:highlight w:val="none"/>
        </w:rPr>
      </w:pPr>
      <w:r>
        <w:rPr>
          <w:rFonts w:hint="eastAsia" w:ascii="宋体" w:hAnsi="宋体" w:cs="宋体"/>
          <w:color w:val="auto"/>
          <w:sz w:val="21"/>
          <w:szCs w:val="21"/>
          <w:highlight w:val="none"/>
        </w:rPr>
        <w:t>（ ）法人（包括企业、事业单位和社会团体）的</w:t>
      </w:r>
    </w:p>
    <w:p>
      <w:pPr>
        <w:pStyle w:val="12"/>
        <w:widowControl/>
        <w:spacing w:before="75" w:beforeAutospacing="0" w:after="75" w:afterAutospacing="0"/>
        <w:ind w:firstLine="420"/>
        <w:rPr>
          <w:rFonts w:ascii="宋体" w:hAnsi="宋体" w:cs="宋体"/>
          <w:color w:val="auto"/>
          <w:sz w:val="21"/>
          <w:szCs w:val="21"/>
          <w:highlight w:val="none"/>
        </w:rPr>
      </w:pPr>
      <w:r>
        <w:rPr>
          <w:rFonts w:hint="eastAsia" w:ascii="宋体" w:hAnsi="宋体" w:cs="宋体"/>
          <w:color w:val="auto"/>
          <w:sz w:val="21"/>
          <w:szCs w:val="21"/>
          <w:highlight w:val="none"/>
        </w:rPr>
        <w:t>现附上自</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年</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月</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日至</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年</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月</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日我方缴纳的社会保险凭据（限：税务机关/社会保障资金管理机关的专用收据或社会保险缴纳清单，或社会保险的银行缴款收讫凭证）复印件，上述证明材料真实有效，否则我方负全部责任。</w:t>
      </w:r>
    </w:p>
    <w:p>
      <w:pPr>
        <w:pStyle w:val="12"/>
        <w:widowControl/>
        <w:spacing w:before="75" w:beforeAutospacing="0" w:after="75" w:afterAutospacing="0"/>
        <w:ind w:firstLine="420"/>
        <w:rPr>
          <w:rFonts w:ascii="宋体" w:hAnsi="宋体" w:cs="宋体"/>
          <w:color w:val="auto"/>
          <w:sz w:val="21"/>
          <w:szCs w:val="21"/>
          <w:highlight w:val="none"/>
        </w:rPr>
      </w:pPr>
      <w:r>
        <w:rPr>
          <w:rFonts w:hint="eastAsia" w:ascii="宋体" w:hAnsi="宋体" w:cs="宋体"/>
          <w:color w:val="auto"/>
          <w:sz w:val="21"/>
          <w:szCs w:val="21"/>
          <w:highlight w:val="none"/>
        </w:rPr>
        <w:t>（ ）非法人（包括其他组织、自然人）的</w:t>
      </w:r>
    </w:p>
    <w:p>
      <w:pPr>
        <w:pStyle w:val="12"/>
        <w:widowControl/>
        <w:spacing w:before="75" w:beforeAutospacing="0" w:after="75" w:afterAutospacing="0"/>
        <w:ind w:firstLine="420"/>
        <w:rPr>
          <w:rFonts w:ascii="宋体" w:hAnsi="宋体" w:cs="宋体"/>
          <w:color w:val="auto"/>
          <w:sz w:val="21"/>
          <w:szCs w:val="21"/>
          <w:highlight w:val="none"/>
        </w:rPr>
      </w:pPr>
      <w:r>
        <w:rPr>
          <w:rFonts w:hint="eastAsia" w:ascii="宋体" w:hAnsi="宋体" w:cs="宋体"/>
          <w:color w:val="auto"/>
          <w:sz w:val="21"/>
          <w:szCs w:val="21"/>
          <w:highlight w:val="none"/>
        </w:rPr>
        <w:t>自</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年</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月</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日至</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年</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月</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日我方缴纳的社会保险凭据（限：税务机关/社会保障资金管理机关的专用收据或社会保险缴纳清单，或社会保险的银行缴款收讫凭证）复印件，上述证明材料真实有效，否则我方负全部责任。</w:t>
      </w:r>
    </w:p>
    <w:p>
      <w:pPr>
        <w:pStyle w:val="12"/>
        <w:widowControl/>
        <w:spacing w:before="75" w:beforeAutospacing="0" w:after="75" w:afterAutospacing="0"/>
        <w:ind w:firstLine="480"/>
        <w:rPr>
          <w:rFonts w:ascii="宋体" w:hAnsi="宋体" w:cs="宋体"/>
          <w:color w:val="auto"/>
          <w:sz w:val="21"/>
          <w:szCs w:val="21"/>
          <w:highlight w:val="none"/>
        </w:rPr>
      </w:pPr>
      <w:bookmarkStart w:id="34" w:name="_Toc17721_WPSOffice_Level1"/>
      <w:r>
        <w:rPr>
          <w:rStyle w:val="18"/>
          <w:rFonts w:hint="eastAsia" w:ascii="宋体" w:hAnsi="宋体" w:cs="宋体"/>
          <w:color w:val="auto"/>
          <w:sz w:val="21"/>
          <w:szCs w:val="21"/>
          <w:highlight w:val="none"/>
        </w:rPr>
        <w:t>2、依法不需要缴纳社会保障资金的供应商</w:t>
      </w:r>
      <w:bookmarkEnd w:id="34"/>
    </w:p>
    <w:p>
      <w:pPr>
        <w:pStyle w:val="12"/>
        <w:widowControl/>
        <w:spacing w:before="75" w:beforeAutospacing="0" w:after="75" w:afterAutospacing="0"/>
        <w:ind w:firstLine="420"/>
        <w:rPr>
          <w:rFonts w:ascii="宋体" w:hAnsi="宋体" w:cs="宋体"/>
          <w:color w:val="auto"/>
          <w:sz w:val="21"/>
          <w:szCs w:val="21"/>
          <w:highlight w:val="none"/>
        </w:rPr>
      </w:pPr>
      <w:r>
        <w:rPr>
          <w:rFonts w:hint="eastAsia" w:ascii="宋体" w:hAnsi="宋体" w:cs="宋体"/>
          <w:color w:val="auto"/>
          <w:sz w:val="21"/>
          <w:szCs w:val="21"/>
          <w:highlight w:val="none"/>
        </w:rPr>
        <w:t>（ ）现附上我方依法不需要缴纳社会保障资金证明材料复印件，上述证明材料真实有效，否则我方负全部责任。</w:t>
      </w:r>
    </w:p>
    <w:p>
      <w:pPr>
        <w:pStyle w:val="12"/>
        <w:widowControl/>
        <w:spacing w:before="0" w:beforeAutospacing="0" w:after="0" w:afterAutospacing="0" w:line="285" w:lineRule="atLeast"/>
        <w:rPr>
          <w:rFonts w:ascii="宋体" w:hAnsi="宋体" w:cs="宋体"/>
          <w:color w:val="auto"/>
          <w:sz w:val="21"/>
          <w:szCs w:val="21"/>
          <w:highlight w:val="none"/>
        </w:rPr>
      </w:pPr>
      <w:r>
        <w:rPr>
          <w:rFonts w:hint="eastAsia" w:ascii="宋体" w:hAnsi="宋体" w:cs="宋体"/>
          <w:color w:val="auto"/>
          <w:sz w:val="21"/>
          <w:szCs w:val="21"/>
          <w:highlight w:val="none"/>
        </w:rPr>
        <w:t> </w:t>
      </w:r>
    </w:p>
    <w:p>
      <w:pPr>
        <w:pStyle w:val="12"/>
        <w:widowControl/>
        <w:spacing w:before="0" w:beforeAutospacing="0" w:after="0" w:afterAutospacing="0" w:line="285" w:lineRule="atLeast"/>
        <w:rPr>
          <w:rFonts w:ascii="宋体" w:hAnsi="宋体" w:cs="宋体"/>
          <w:color w:val="auto"/>
          <w:sz w:val="21"/>
          <w:szCs w:val="21"/>
          <w:highlight w:val="none"/>
        </w:rPr>
      </w:pPr>
      <w:r>
        <w:rPr>
          <w:rFonts w:hint="eastAsia" w:ascii="宋体" w:hAnsi="宋体" w:cs="宋体"/>
          <w:color w:val="auto"/>
          <w:sz w:val="21"/>
          <w:szCs w:val="21"/>
          <w:highlight w:val="none"/>
        </w:rPr>
        <w:t>※注意：</w:t>
      </w:r>
    </w:p>
    <w:p>
      <w:pPr>
        <w:pStyle w:val="12"/>
        <w:widowControl/>
        <w:spacing w:before="0" w:beforeAutospacing="0" w:after="0" w:afterAutospacing="0" w:line="285" w:lineRule="atLeast"/>
        <w:rPr>
          <w:rFonts w:ascii="宋体" w:hAnsi="宋体" w:cs="宋体"/>
          <w:color w:val="auto"/>
          <w:sz w:val="21"/>
          <w:szCs w:val="21"/>
          <w:highlight w:val="none"/>
        </w:rPr>
      </w:pPr>
      <w:r>
        <w:rPr>
          <w:rFonts w:hint="eastAsia" w:ascii="宋体" w:hAnsi="宋体" w:cs="宋体"/>
          <w:color w:val="auto"/>
          <w:sz w:val="21"/>
          <w:szCs w:val="21"/>
          <w:highlight w:val="none"/>
        </w:rPr>
        <w:t>1、请供应商根据实际情况填写，在相应的（）中打“√”，并按照本格式的要求提供相应证明材料的复印件。</w:t>
      </w:r>
    </w:p>
    <w:p>
      <w:pPr>
        <w:pStyle w:val="12"/>
        <w:widowControl/>
        <w:spacing w:before="0" w:beforeAutospacing="0" w:after="0" w:afterAutospacing="0" w:line="285" w:lineRule="atLeast"/>
        <w:rPr>
          <w:rFonts w:ascii="宋体" w:hAnsi="宋体" w:cs="宋体"/>
          <w:color w:val="auto"/>
          <w:sz w:val="21"/>
          <w:szCs w:val="21"/>
          <w:highlight w:val="none"/>
        </w:rPr>
      </w:pPr>
      <w:r>
        <w:rPr>
          <w:rFonts w:hint="eastAsia" w:ascii="宋体" w:hAnsi="宋体" w:cs="宋体"/>
          <w:color w:val="auto"/>
          <w:sz w:val="21"/>
          <w:szCs w:val="21"/>
          <w:highlight w:val="none"/>
        </w:rPr>
        <w:t>2、供应商提供的社会保险凭据复印件应符合下列规定：</w:t>
      </w:r>
    </w:p>
    <w:p>
      <w:pPr>
        <w:pStyle w:val="12"/>
        <w:widowControl/>
        <w:spacing w:before="0" w:beforeAutospacing="0" w:after="0" w:afterAutospacing="0" w:line="285" w:lineRule="atLeast"/>
        <w:rPr>
          <w:rFonts w:ascii="宋体" w:hAnsi="宋体" w:cs="宋体"/>
          <w:color w:val="auto"/>
          <w:sz w:val="21"/>
          <w:szCs w:val="21"/>
          <w:highlight w:val="none"/>
        </w:rPr>
      </w:pPr>
      <w:r>
        <w:rPr>
          <w:rFonts w:hint="eastAsia" w:ascii="宋体" w:hAnsi="宋体" w:cs="宋体"/>
          <w:color w:val="auto"/>
          <w:sz w:val="21"/>
          <w:szCs w:val="21"/>
          <w:highlight w:val="none"/>
        </w:rPr>
        <w:t>2.1首次响应文件递交截止时间前（不含截止时间的当月）已依法缴纳社会保障资金的投供应商，提供首次响应文件递交截止时间前六个月（不含截止时间的当月）中任一月份的社会保险凭据复印件。</w:t>
      </w:r>
    </w:p>
    <w:p>
      <w:pPr>
        <w:pStyle w:val="12"/>
        <w:widowControl/>
        <w:spacing w:before="0" w:beforeAutospacing="0" w:after="0" w:afterAutospacing="0" w:line="285" w:lineRule="atLeast"/>
        <w:rPr>
          <w:rFonts w:ascii="宋体" w:hAnsi="宋体" w:cs="宋体"/>
          <w:color w:val="auto"/>
          <w:sz w:val="21"/>
          <w:szCs w:val="21"/>
          <w:highlight w:val="none"/>
        </w:rPr>
      </w:pPr>
      <w:r>
        <w:rPr>
          <w:rFonts w:hint="eastAsia" w:ascii="宋体" w:hAnsi="宋体" w:cs="宋体"/>
          <w:color w:val="auto"/>
          <w:sz w:val="21"/>
          <w:szCs w:val="21"/>
          <w:highlight w:val="none"/>
        </w:rPr>
        <w:t>2.2首次响应文件递交截止时间的当月成立且已依法缴纳社会保障资金的供应商，提供首次响应文件递交截止时间当月的社会保险凭据复印件。</w:t>
      </w:r>
    </w:p>
    <w:p>
      <w:pPr>
        <w:pStyle w:val="12"/>
        <w:widowControl/>
        <w:spacing w:before="0" w:beforeAutospacing="0" w:after="0" w:afterAutospacing="0" w:line="285" w:lineRule="atLeast"/>
        <w:rPr>
          <w:rFonts w:ascii="宋体" w:hAnsi="宋体" w:cs="宋体"/>
          <w:color w:val="auto"/>
          <w:sz w:val="21"/>
          <w:szCs w:val="21"/>
          <w:highlight w:val="none"/>
        </w:rPr>
      </w:pPr>
      <w:r>
        <w:rPr>
          <w:rFonts w:hint="eastAsia" w:ascii="宋体" w:hAnsi="宋体" w:cs="宋体"/>
          <w:color w:val="auto"/>
          <w:sz w:val="21"/>
          <w:szCs w:val="21"/>
          <w:highlight w:val="none"/>
        </w:rPr>
        <w:t>2.3首次响应文件递交截止时间的当月成立但因税务机关/社会保障资金管理机关原因而尚未依法缴纳社会保障资金的供应商，提供依法缴纳社会保障资金承诺书原件（格式自拟），该承诺书视同社会保险凭据。</w:t>
      </w:r>
    </w:p>
    <w:p>
      <w:pPr>
        <w:pStyle w:val="12"/>
        <w:widowControl/>
        <w:spacing w:before="0" w:beforeAutospacing="0" w:after="0" w:afterAutospacing="0" w:line="285" w:lineRule="atLeast"/>
        <w:rPr>
          <w:rFonts w:ascii="宋体" w:hAnsi="宋体" w:cs="宋体"/>
          <w:color w:val="auto"/>
          <w:sz w:val="21"/>
          <w:szCs w:val="21"/>
          <w:highlight w:val="none"/>
        </w:rPr>
      </w:pPr>
      <w:r>
        <w:rPr>
          <w:rFonts w:hint="eastAsia" w:ascii="宋体" w:hAnsi="宋体" w:cs="宋体"/>
          <w:color w:val="auto"/>
          <w:sz w:val="21"/>
          <w:szCs w:val="21"/>
          <w:highlight w:val="none"/>
        </w:rPr>
        <w:t>3、供应商提供的相应证明材料复印件均应符合：内容完整、清晰、整洁，并由供应商加盖其单位公章。</w:t>
      </w:r>
    </w:p>
    <w:p>
      <w:pPr>
        <w:pStyle w:val="12"/>
        <w:widowControl/>
        <w:spacing w:before="0" w:beforeAutospacing="0" w:after="0" w:afterAutospacing="0" w:line="285" w:lineRule="atLeast"/>
        <w:rPr>
          <w:rFonts w:ascii="宋体" w:hAnsi="宋体" w:cs="宋体"/>
          <w:color w:val="auto"/>
          <w:sz w:val="21"/>
          <w:szCs w:val="21"/>
          <w:highlight w:val="none"/>
        </w:rPr>
      </w:pPr>
      <w:r>
        <w:rPr>
          <w:rFonts w:hint="eastAsia" w:ascii="宋体" w:hAnsi="宋体" w:cs="宋体"/>
          <w:color w:val="auto"/>
          <w:sz w:val="21"/>
          <w:szCs w:val="21"/>
          <w:highlight w:val="none"/>
        </w:rPr>
        <w:t>4、“</w:t>
      </w:r>
      <w:r>
        <w:rPr>
          <w:rStyle w:val="18"/>
          <w:rFonts w:hint="eastAsia" w:ascii="宋体" w:hAnsi="宋体" w:cs="宋体"/>
          <w:color w:val="auto"/>
          <w:sz w:val="21"/>
          <w:szCs w:val="21"/>
          <w:highlight w:val="none"/>
        </w:rPr>
        <w:t>依法缴纳社会保障资金证明材料</w:t>
      </w:r>
      <w:r>
        <w:rPr>
          <w:rFonts w:hint="eastAsia" w:ascii="宋体" w:hAnsi="宋体" w:cs="宋体"/>
          <w:color w:val="auto"/>
          <w:sz w:val="21"/>
          <w:szCs w:val="21"/>
          <w:highlight w:val="none"/>
        </w:rPr>
        <w:t>”有欠缴记录的，视为</w:t>
      </w:r>
      <w:r>
        <w:rPr>
          <w:rStyle w:val="18"/>
          <w:rFonts w:hint="eastAsia" w:ascii="宋体" w:hAnsi="宋体" w:cs="宋体"/>
          <w:color w:val="auto"/>
          <w:sz w:val="21"/>
          <w:szCs w:val="21"/>
          <w:highlight w:val="none"/>
        </w:rPr>
        <w:t>未依法缴纳社会保障资金</w:t>
      </w:r>
      <w:r>
        <w:rPr>
          <w:rFonts w:hint="eastAsia" w:ascii="宋体" w:hAnsi="宋体" w:cs="宋体"/>
          <w:color w:val="auto"/>
          <w:sz w:val="21"/>
          <w:szCs w:val="21"/>
          <w:highlight w:val="none"/>
        </w:rPr>
        <w:t>。</w:t>
      </w:r>
    </w:p>
    <w:p>
      <w:pPr>
        <w:pStyle w:val="12"/>
        <w:widowControl/>
        <w:spacing w:before="75" w:beforeAutospacing="0" w:after="75" w:afterAutospacing="0" w:line="285" w:lineRule="atLeast"/>
        <w:rPr>
          <w:rFonts w:ascii="宋体" w:hAnsi="宋体" w:cs="宋体"/>
          <w:color w:val="auto"/>
          <w:sz w:val="21"/>
          <w:szCs w:val="21"/>
          <w:highlight w:val="none"/>
        </w:rPr>
      </w:pPr>
      <w:r>
        <w:rPr>
          <w:rFonts w:hint="eastAsia" w:ascii="宋体" w:hAnsi="宋体" w:cs="宋体"/>
          <w:color w:val="auto"/>
          <w:sz w:val="21"/>
          <w:szCs w:val="21"/>
          <w:highlight w:val="none"/>
        </w:rPr>
        <w:t>5、对于接受联合体形式的磋商且供应商是联合体的，则联合体各成员都应当提交本资格证明文件。</w:t>
      </w:r>
    </w:p>
    <w:p>
      <w:pPr>
        <w:pStyle w:val="12"/>
        <w:widowControl/>
        <w:spacing w:before="75" w:beforeAutospacing="0" w:after="75" w:afterAutospacing="0" w:line="285" w:lineRule="atLeast"/>
        <w:rPr>
          <w:rFonts w:ascii="宋体" w:hAnsi="宋体" w:cs="宋体"/>
          <w:b/>
          <w:bCs/>
          <w:color w:val="auto"/>
          <w:sz w:val="21"/>
          <w:szCs w:val="21"/>
          <w:highlight w:val="none"/>
          <w:lang w:bidi="ar"/>
        </w:rPr>
      </w:pPr>
      <w:r>
        <w:rPr>
          <w:rFonts w:hint="eastAsia" w:ascii="宋体" w:hAnsi="宋体" w:cs="宋体"/>
          <w:color w:val="auto"/>
          <w:sz w:val="21"/>
          <w:szCs w:val="21"/>
          <w:highlight w:val="none"/>
        </w:rPr>
        <w:t>6、</w:t>
      </w:r>
      <w:r>
        <w:rPr>
          <w:rFonts w:hint="eastAsia" w:ascii="宋体" w:hAnsi="宋体" w:cs="宋体"/>
          <w:b/>
          <w:bCs/>
          <w:color w:val="auto"/>
          <w:sz w:val="21"/>
          <w:szCs w:val="21"/>
          <w:highlight w:val="none"/>
          <w:lang w:bidi="ar"/>
        </w:rPr>
        <w:t>因疫情影响享受缓缴或免缴社保资金、税款的企业，无法提供相关社保、税收缴纳证明材料的，提供有关情况说明视同社保、税收缴纳证明材料提交完整。供应商须对相关情况说明的真实性负责。</w:t>
      </w:r>
    </w:p>
    <w:p>
      <w:pPr>
        <w:pStyle w:val="12"/>
        <w:widowControl/>
        <w:spacing w:before="0" w:beforeAutospacing="0" w:after="0" w:afterAutospacing="0" w:line="285" w:lineRule="atLeast"/>
        <w:rPr>
          <w:rFonts w:ascii="宋体" w:hAnsi="宋体" w:cs="宋体"/>
          <w:color w:val="auto"/>
          <w:sz w:val="21"/>
          <w:szCs w:val="21"/>
          <w:highlight w:val="none"/>
        </w:rPr>
      </w:pPr>
    </w:p>
    <w:p>
      <w:pPr>
        <w:pStyle w:val="12"/>
        <w:widowControl/>
        <w:spacing w:before="0" w:beforeAutospacing="0" w:after="0" w:afterAutospacing="0" w:line="285" w:lineRule="atLeast"/>
        <w:rPr>
          <w:rFonts w:ascii="宋体" w:hAnsi="宋体" w:cs="宋体"/>
          <w:color w:val="auto"/>
          <w:sz w:val="21"/>
          <w:szCs w:val="21"/>
          <w:highlight w:val="none"/>
        </w:rPr>
      </w:pPr>
      <w:r>
        <w:rPr>
          <w:rFonts w:hint="eastAsia" w:ascii="宋体" w:hAnsi="宋体" w:cs="宋体"/>
          <w:color w:val="auto"/>
          <w:sz w:val="21"/>
          <w:szCs w:val="21"/>
          <w:highlight w:val="none"/>
        </w:rPr>
        <w:t>供应商代表：</w:t>
      </w:r>
      <w:r>
        <w:rPr>
          <w:rFonts w:hint="eastAsia" w:ascii="宋体" w:hAnsi="宋体" w:cs="宋体"/>
          <w:color w:val="auto"/>
          <w:sz w:val="21"/>
          <w:szCs w:val="21"/>
          <w:highlight w:val="none"/>
          <w:u w:val="single"/>
        </w:rPr>
        <w:t>             （签字） </w:t>
      </w:r>
    </w:p>
    <w:p>
      <w:pPr>
        <w:pStyle w:val="12"/>
        <w:widowControl/>
        <w:spacing w:before="75" w:beforeAutospacing="0" w:after="75" w:afterAutospacing="0" w:line="285" w:lineRule="atLeast"/>
        <w:jc w:val="both"/>
        <w:rPr>
          <w:rFonts w:ascii="宋体" w:hAnsi="宋体" w:cs="宋体"/>
          <w:color w:val="auto"/>
          <w:sz w:val="21"/>
          <w:szCs w:val="21"/>
          <w:highlight w:val="none"/>
        </w:rPr>
      </w:pPr>
      <w:r>
        <w:rPr>
          <w:rFonts w:hint="eastAsia" w:ascii="宋体" w:hAnsi="宋体" w:cs="宋体"/>
          <w:color w:val="auto"/>
          <w:sz w:val="21"/>
          <w:szCs w:val="21"/>
          <w:highlight w:val="none"/>
        </w:rPr>
        <w:t>供应商名称：</w:t>
      </w:r>
      <w:r>
        <w:rPr>
          <w:rFonts w:hint="eastAsia" w:ascii="宋体" w:hAnsi="宋体" w:cs="宋体"/>
          <w:color w:val="auto"/>
          <w:sz w:val="21"/>
          <w:szCs w:val="21"/>
          <w:highlight w:val="none"/>
          <w:u w:val="single"/>
        </w:rPr>
        <w:t>         （全称并加盖公章）              </w:t>
      </w:r>
    </w:p>
    <w:p>
      <w:pPr>
        <w:pStyle w:val="12"/>
        <w:widowControl/>
        <w:spacing w:before="0" w:beforeAutospacing="0" w:after="0" w:afterAutospacing="0" w:line="285" w:lineRule="atLeast"/>
        <w:rPr>
          <w:rFonts w:ascii="宋体" w:hAnsi="宋体" w:cs="宋体"/>
          <w:color w:val="auto"/>
          <w:sz w:val="21"/>
          <w:szCs w:val="21"/>
          <w:highlight w:val="none"/>
        </w:rPr>
      </w:pPr>
      <w:r>
        <w:rPr>
          <w:rFonts w:hint="eastAsia" w:ascii="宋体" w:hAnsi="宋体" w:cs="宋体"/>
          <w:color w:val="auto"/>
          <w:sz w:val="21"/>
          <w:szCs w:val="21"/>
          <w:highlight w:val="none"/>
        </w:rPr>
        <w:t>日  期： </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年 </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月 </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日</w:t>
      </w:r>
    </w:p>
    <w:p>
      <w:pPr>
        <w:pStyle w:val="12"/>
        <w:widowControl/>
        <w:spacing w:before="75" w:beforeAutospacing="0" w:after="75" w:afterAutospacing="0" w:line="435" w:lineRule="atLeast"/>
        <w:rPr>
          <w:rFonts w:ascii="宋体" w:hAnsi="宋体" w:cs="宋体"/>
          <w:color w:val="auto"/>
          <w:sz w:val="21"/>
          <w:szCs w:val="21"/>
          <w:highlight w:val="none"/>
        </w:rPr>
      </w:pPr>
      <w:r>
        <w:rPr>
          <w:rFonts w:hint="eastAsia" w:ascii="宋体" w:hAnsi="宋体" w:cs="宋体"/>
          <w:color w:val="auto"/>
          <w:sz w:val="21"/>
          <w:szCs w:val="21"/>
          <w:highlight w:val="none"/>
        </w:rPr>
        <w:t> </w:t>
      </w:r>
    </w:p>
    <w:p>
      <w:pPr>
        <w:pStyle w:val="12"/>
        <w:widowControl/>
        <w:spacing w:before="75" w:beforeAutospacing="0" w:after="75" w:afterAutospacing="0" w:line="435" w:lineRule="atLeast"/>
        <w:jc w:val="center"/>
        <w:rPr>
          <w:rFonts w:ascii="宋体" w:hAnsi="宋体" w:cs="宋体"/>
          <w:color w:val="auto"/>
          <w:sz w:val="21"/>
          <w:szCs w:val="21"/>
          <w:highlight w:val="none"/>
        </w:rPr>
      </w:pPr>
    </w:p>
    <w:p>
      <w:pPr>
        <w:pStyle w:val="12"/>
        <w:widowControl/>
        <w:spacing w:before="75" w:beforeAutospacing="0" w:after="75" w:afterAutospacing="0" w:line="435" w:lineRule="atLeast"/>
        <w:jc w:val="center"/>
        <w:rPr>
          <w:rFonts w:ascii="宋体" w:hAnsi="宋体" w:cs="宋体"/>
          <w:color w:val="auto"/>
          <w:sz w:val="21"/>
          <w:szCs w:val="21"/>
          <w:highlight w:val="none"/>
        </w:rPr>
      </w:pPr>
      <w:r>
        <w:rPr>
          <w:rFonts w:hint="eastAsia" w:ascii="宋体" w:hAnsi="宋体" w:cs="宋体"/>
          <w:color w:val="auto"/>
          <w:sz w:val="21"/>
          <w:szCs w:val="21"/>
          <w:highlight w:val="none"/>
        </w:rPr>
        <w:br w:type="page"/>
      </w:r>
      <w:r>
        <w:rPr>
          <w:rFonts w:hint="eastAsia" w:ascii="宋体" w:hAnsi="宋体" w:cs="宋体"/>
          <w:b/>
          <w:bCs/>
          <w:color w:val="auto"/>
          <w:sz w:val="21"/>
          <w:szCs w:val="21"/>
          <w:highlight w:val="none"/>
        </w:rPr>
        <w:t>附件3-8   </w:t>
      </w:r>
      <w:r>
        <w:rPr>
          <w:rStyle w:val="18"/>
          <w:rFonts w:hint="eastAsia" w:ascii="宋体" w:hAnsi="宋体" w:cs="宋体"/>
          <w:bCs/>
          <w:color w:val="auto"/>
          <w:sz w:val="21"/>
          <w:szCs w:val="21"/>
          <w:highlight w:val="none"/>
        </w:rPr>
        <w:t>具备履行合同所必需设备和专业技术能力证明</w:t>
      </w:r>
      <w:r>
        <w:rPr>
          <w:rStyle w:val="18"/>
          <w:rFonts w:hint="eastAsia" w:ascii="宋体" w:hAnsi="宋体" w:cs="宋体"/>
          <w:color w:val="auto"/>
          <w:sz w:val="21"/>
          <w:szCs w:val="21"/>
          <w:highlight w:val="none"/>
        </w:rPr>
        <w:t>材料</w:t>
      </w:r>
    </w:p>
    <w:p>
      <w:pPr>
        <w:pStyle w:val="12"/>
        <w:widowControl/>
        <w:spacing w:before="75" w:beforeAutospacing="0" w:after="75" w:afterAutospacing="0" w:line="435" w:lineRule="atLeast"/>
        <w:rPr>
          <w:rFonts w:ascii="宋体" w:hAnsi="宋体" w:cs="宋体"/>
          <w:color w:val="auto"/>
          <w:sz w:val="21"/>
          <w:szCs w:val="21"/>
          <w:highlight w:val="none"/>
        </w:rPr>
      </w:pPr>
      <w:r>
        <w:rPr>
          <w:rFonts w:hint="eastAsia" w:ascii="宋体" w:hAnsi="宋体" w:cs="宋体"/>
          <w:color w:val="auto"/>
          <w:sz w:val="21"/>
          <w:szCs w:val="21"/>
          <w:highlight w:val="none"/>
        </w:rPr>
        <w:t> </w:t>
      </w:r>
    </w:p>
    <w:p>
      <w:pPr>
        <w:pStyle w:val="12"/>
        <w:widowControl/>
        <w:spacing w:before="75" w:beforeAutospacing="0" w:after="75" w:afterAutospacing="0" w:line="435" w:lineRule="atLeast"/>
        <w:jc w:val="center"/>
        <w:rPr>
          <w:rFonts w:ascii="宋体" w:hAnsi="宋体" w:cs="宋体"/>
          <w:color w:val="auto"/>
          <w:sz w:val="21"/>
          <w:szCs w:val="21"/>
          <w:highlight w:val="none"/>
        </w:rPr>
      </w:pPr>
      <w:r>
        <w:rPr>
          <w:rStyle w:val="18"/>
          <w:rFonts w:hint="eastAsia" w:ascii="宋体" w:hAnsi="宋体" w:cs="宋体"/>
          <w:color w:val="auto"/>
          <w:sz w:val="21"/>
          <w:szCs w:val="21"/>
          <w:highlight w:val="none"/>
        </w:rPr>
        <w:t>声明函</w:t>
      </w:r>
    </w:p>
    <w:p>
      <w:pPr>
        <w:pStyle w:val="12"/>
        <w:widowControl/>
        <w:spacing w:before="75" w:beforeAutospacing="0" w:after="75" w:afterAutospacing="0" w:line="435" w:lineRule="atLeast"/>
        <w:rPr>
          <w:rFonts w:ascii="宋体" w:hAnsi="宋体" w:cs="宋体"/>
          <w:color w:val="auto"/>
          <w:sz w:val="21"/>
          <w:szCs w:val="21"/>
          <w:highlight w:val="none"/>
        </w:rPr>
      </w:pPr>
      <w:r>
        <w:rPr>
          <w:rFonts w:hint="eastAsia" w:ascii="宋体" w:hAnsi="宋体" w:cs="宋体"/>
          <w:color w:val="auto"/>
          <w:sz w:val="21"/>
          <w:szCs w:val="21"/>
          <w:highlight w:val="none"/>
        </w:rPr>
        <w:t>致：</w:t>
      </w:r>
      <w:r>
        <w:rPr>
          <w:rFonts w:hint="eastAsia" w:ascii="宋体" w:hAnsi="宋体" w:cs="宋体"/>
          <w:color w:val="auto"/>
          <w:sz w:val="21"/>
          <w:szCs w:val="21"/>
          <w:highlight w:val="none"/>
          <w:u w:val="single"/>
        </w:rPr>
        <w:t>宁德市有信产权交易服务有限公司</w:t>
      </w:r>
    </w:p>
    <w:p>
      <w:pPr>
        <w:pStyle w:val="12"/>
        <w:widowControl/>
        <w:spacing w:before="75" w:beforeAutospacing="0" w:after="75" w:afterAutospacing="0"/>
        <w:ind w:firstLine="480"/>
        <w:rPr>
          <w:rFonts w:ascii="宋体" w:hAnsi="宋体" w:cs="宋体"/>
          <w:color w:val="auto"/>
          <w:sz w:val="21"/>
          <w:szCs w:val="21"/>
          <w:highlight w:val="none"/>
        </w:rPr>
      </w:pPr>
      <w:r>
        <w:rPr>
          <w:rFonts w:hint="eastAsia" w:ascii="宋体" w:hAnsi="宋体" w:cs="宋体"/>
          <w:color w:val="auto"/>
          <w:sz w:val="21"/>
          <w:szCs w:val="21"/>
          <w:highlight w:val="none"/>
        </w:rPr>
        <w:t>我方具备履行合同所必需的设备和专业技术能力，并对本声明承诺的真实性负责，否则产生不利后果由我方承担责任。</w:t>
      </w:r>
    </w:p>
    <w:p>
      <w:pPr>
        <w:pStyle w:val="12"/>
        <w:widowControl/>
        <w:spacing w:before="75" w:beforeAutospacing="0" w:after="75" w:afterAutospacing="0" w:line="435" w:lineRule="atLeast"/>
        <w:ind w:firstLine="480"/>
        <w:rPr>
          <w:rFonts w:ascii="宋体" w:hAnsi="宋体" w:cs="宋体"/>
          <w:color w:val="auto"/>
          <w:sz w:val="21"/>
          <w:szCs w:val="21"/>
          <w:highlight w:val="none"/>
        </w:rPr>
      </w:pPr>
      <w:r>
        <w:rPr>
          <w:rFonts w:hint="eastAsia" w:ascii="宋体" w:hAnsi="宋体" w:cs="宋体"/>
          <w:color w:val="auto"/>
          <w:sz w:val="21"/>
          <w:szCs w:val="21"/>
          <w:highlight w:val="none"/>
        </w:rPr>
        <w:t>特此声明。</w:t>
      </w:r>
    </w:p>
    <w:p>
      <w:pPr>
        <w:pStyle w:val="12"/>
        <w:widowControl/>
        <w:spacing w:before="75" w:beforeAutospacing="0" w:after="75" w:afterAutospacing="0" w:line="435" w:lineRule="atLeast"/>
        <w:rPr>
          <w:rFonts w:ascii="宋体" w:hAnsi="宋体" w:cs="宋体"/>
          <w:color w:val="auto"/>
          <w:sz w:val="21"/>
          <w:szCs w:val="21"/>
          <w:highlight w:val="none"/>
        </w:rPr>
      </w:pPr>
      <w:r>
        <w:rPr>
          <w:rFonts w:hint="eastAsia" w:ascii="宋体" w:hAnsi="宋体" w:cs="宋体"/>
          <w:color w:val="auto"/>
          <w:sz w:val="21"/>
          <w:szCs w:val="21"/>
          <w:highlight w:val="none"/>
        </w:rPr>
        <w:t> </w:t>
      </w:r>
    </w:p>
    <w:p>
      <w:pPr>
        <w:pStyle w:val="12"/>
        <w:widowControl/>
        <w:spacing w:before="75" w:beforeAutospacing="0" w:after="75" w:afterAutospacing="0" w:line="435" w:lineRule="atLeast"/>
        <w:rPr>
          <w:rFonts w:ascii="宋体" w:hAnsi="宋体" w:cs="宋体"/>
          <w:color w:val="auto"/>
          <w:sz w:val="21"/>
          <w:szCs w:val="21"/>
          <w:highlight w:val="none"/>
        </w:rPr>
      </w:pPr>
      <w:r>
        <w:rPr>
          <w:rFonts w:hint="eastAsia" w:ascii="宋体" w:hAnsi="宋体" w:cs="宋体"/>
          <w:color w:val="auto"/>
          <w:sz w:val="21"/>
          <w:szCs w:val="21"/>
          <w:highlight w:val="none"/>
        </w:rPr>
        <w:t>※注意：</w:t>
      </w:r>
    </w:p>
    <w:p>
      <w:pPr>
        <w:pStyle w:val="12"/>
        <w:widowControl/>
        <w:numPr>
          <w:ilvl w:val="0"/>
          <w:numId w:val="9"/>
        </w:numPr>
        <w:spacing w:before="75" w:beforeAutospacing="0" w:after="75" w:afterAutospacing="0" w:line="435" w:lineRule="atLeast"/>
        <w:ind w:firstLine="480"/>
        <w:rPr>
          <w:rStyle w:val="18"/>
          <w:rFonts w:ascii="宋体" w:hAnsi="宋体" w:cs="宋体"/>
          <w:color w:val="auto"/>
          <w:sz w:val="21"/>
          <w:szCs w:val="21"/>
          <w:highlight w:val="none"/>
        </w:rPr>
      </w:pPr>
      <w:r>
        <w:rPr>
          <w:rStyle w:val="18"/>
          <w:rFonts w:hint="eastAsia" w:ascii="宋体" w:hAnsi="宋体" w:cs="宋体"/>
          <w:color w:val="auto"/>
          <w:sz w:val="21"/>
          <w:szCs w:val="21"/>
          <w:highlight w:val="none"/>
        </w:rPr>
        <w:t>磋商文件“供应商的资格”中资格条件如果没有特别规定，则由供应商在响应文件中按上述格式提供其具备履行合同所必需的设备和专业技术能力的声明即可，声明函应加盖供应商单位公章。</w:t>
      </w:r>
    </w:p>
    <w:p>
      <w:pPr>
        <w:pStyle w:val="12"/>
        <w:widowControl/>
        <w:numPr>
          <w:ilvl w:val="0"/>
          <w:numId w:val="9"/>
        </w:numPr>
        <w:spacing w:before="75" w:beforeAutospacing="0" w:after="75" w:afterAutospacing="0" w:line="435" w:lineRule="atLeast"/>
        <w:ind w:firstLine="480"/>
        <w:rPr>
          <w:rStyle w:val="18"/>
          <w:rFonts w:ascii="宋体" w:hAnsi="宋体" w:cs="宋体"/>
          <w:color w:val="auto"/>
          <w:sz w:val="21"/>
          <w:szCs w:val="21"/>
          <w:highlight w:val="none"/>
        </w:rPr>
      </w:pPr>
      <w:r>
        <w:rPr>
          <w:rStyle w:val="18"/>
          <w:rFonts w:hint="eastAsia" w:ascii="宋体" w:hAnsi="宋体" w:cs="宋体"/>
          <w:color w:val="auto"/>
          <w:sz w:val="21"/>
          <w:szCs w:val="21"/>
          <w:highlight w:val="none"/>
        </w:rPr>
        <w:t>如果根据项目的特点和需要，对履行合同所必需的设备和专业技术能力的证明材料有特别专项要求的，则采购人或采购代理机构应当在磋商文件“供应商的资格”中资格条件进行明确约定，供应商可以不用提供上述格式要求的声明函，但必须按资格条件的规定提供相应专项证明材料，并对相应证明材料的真实性负责。</w:t>
      </w:r>
    </w:p>
    <w:p>
      <w:pPr>
        <w:widowControl/>
        <w:spacing w:line="435" w:lineRule="atLeast"/>
        <w:jc w:val="left"/>
        <w:rPr>
          <w:rFonts w:ascii="宋体" w:hAnsi="宋体" w:cs="宋体"/>
          <w:color w:val="auto"/>
          <w:kern w:val="0"/>
          <w:szCs w:val="21"/>
          <w:highlight w:val="none"/>
        </w:rPr>
      </w:pPr>
      <w:r>
        <w:rPr>
          <w:rFonts w:hint="eastAsia" w:ascii="宋体" w:hAnsi="宋体" w:cs="宋体"/>
          <w:color w:val="auto"/>
          <w:kern w:val="0"/>
          <w:szCs w:val="21"/>
          <w:highlight w:val="none"/>
        </w:rPr>
        <w:t>如：（1）我方具备履行合同所必需的设备：供应商提供办公场所的场地证明材料附后：</w:t>
      </w:r>
    </w:p>
    <w:p>
      <w:pPr>
        <w:widowControl/>
        <w:spacing w:line="435" w:lineRule="atLeast"/>
        <w:jc w:val="left"/>
        <w:rPr>
          <w:rFonts w:ascii="宋体" w:hAnsi="宋体" w:cs="宋体"/>
          <w:color w:val="auto"/>
          <w:kern w:val="0"/>
          <w:szCs w:val="21"/>
          <w:highlight w:val="none"/>
        </w:rPr>
      </w:pPr>
    </w:p>
    <w:p>
      <w:pPr>
        <w:widowControl/>
        <w:spacing w:line="435" w:lineRule="atLeast"/>
        <w:ind w:firstLine="480"/>
        <w:jc w:val="left"/>
        <w:rPr>
          <w:rFonts w:ascii="宋体" w:hAnsi="宋体" w:cs="宋体"/>
          <w:color w:val="auto"/>
          <w:kern w:val="0"/>
          <w:szCs w:val="21"/>
          <w:highlight w:val="none"/>
        </w:rPr>
      </w:pPr>
    </w:p>
    <w:p>
      <w:pPr>
        <w:widowControl/>
        <w:spacing w:line="435" w:lineRule="atLeast"/>
        <w:ind w:left="480"/>
        <w:jc w:val="left"/>
        <w:rPr>
          <w:rFonts w:ascii="宋体" w:hAnsi="宋体" w:cs="宋体"/>
          <w:color w:val="auto"/>
          <w:kern w:val="0"/>
          <w:szCs w:val="21"/>
          <w:highlight w:val="none"/>
        </w:rPr>
      </w:pPr>
      <w:r>
        <w:rPr>
          <w:rFonts w:hint="eastAsia" w:ascii="宋体" w:hAnsi="宋体" w:cs="宋体"/>
          <w:color w:val="auto"/>
          <w:kern w:val="0"/>
          <w:szCs w:val="21"/>
          <w:highlight w:val="none"/>
        </w:rPr>
        <w:t>（2）我方具备履行合同所必需的专业技术能力：提供负责本项目的主要人员的名单、联系方式及相关学历证书或职称证书如下：</w:t>
      </w:r>
    </w:p>
    <w:tbl>
      <w:tblPr>
        <w:tblStyle w:val="1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90"/>
        <w:gridCol w:w="2490"/>
        <w:gridCol w:w="2491"/>
        <w:gridCol w:w="24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90" w:type="dxa"/>
          </w:tcPr>
          <w:p>
            <w:pPr>
              <w:keepNext w:val="0"/>
              <w:keepLines w:val="0"/>
              <w:widowControl/>
              <w:suppressLineNumbers w:val="0"/>
              <w:spacing w:before="0" w:beforeAutospacing="0" w:after="0" w:afterAutospacing="0" w:line="435" w:lineRule="atLeast"/>
              <w:ind w:left="0" w:right="0"/>
              <w:jc w:val="center"/>
              <w:rPr>
                <w:rFonts w:hint="default" w:ascii="宋体" w:hAnsi="宋体" w:cs="宋体"/>
                <w:b/>
                <w:bCs/>
                <w:color w:val="auto"/>
                <w:kern w:val="0"/>
                <w:szCs w:val="21"/>
                <w:highlight w:val="none"/>
              </w:rPr>
            </w:pPr>
            <w:r>
              <w:rPr>
                <w:rFonts w:hint="eastAsia" w:ascii="宋体" w:hAnsi="宋体" w:cs="宋体"/>
                <w:b/>
                <w:bCs/>
                <w:color w:val="auto"/>
                <w:kern w:val="0"/>
                <w:szCs w:val="21"/>
                <w:highlight w:val="none"/>
              </w:rPr>
              <w:t>人员</w:t>
            </w:r>
          </w:p>
        </w:tc>
        <w:tc>
          <w:tcPr>
            <w:tcW w:w="2490" w:type="dxa"/>
          </w:tcPr>
          <w:p>
            <w:pPr>
              <w:keepNext w:val="0"/>
              <w:keepLines w:val="0"/>
              <w:widowControl/>
              <w:suppressLineNumbers w:val="0"/>
              <w:spacing w:before="0" w:beforeAutospacing="0" w:after="0" w:afterAutospacing="0" w:line="435" w:lineRule="atLeast"/>
              <w:ind w:left="0" w:right="0"/>
              <w:jc w:val="center"/>
              <w:rPr>
                <w:rFonts w:hint="default" w:ascii="宋体" w:hAnsi="宋体" w:cs="宋体"/>
                <w:b/>
                <w:bCs/>
                <w:color w:val="auto"/>
                <w:kern w:val="0"/>
                <w:szCs w:val="21"/>
                <w:highlight w:val="none"/>
              </w:rPr>
            </w:pPr>
            <w:r>
              <w:rPr>
                <w:rFonts w:hint="eastAsia" w:ascii="宋体" w:hAnsi="宋体" w:cs="宋体"/>
                <w:b/>
                <w:bCs/>
                <w:color w:val="auto"/>
                <w:kern w:val="0"/>
                <w:szCs w:val="21"/>
                <w:highlight w:val="none"/>
              </w:rPr>
              <w:t>联系方式</w:t>
            </w:r>
          </w:p>
        </w:tc>
        <w:tc>
          <w:tcPr>
            <w:tcW w:w="2491" w:type="dxa"/>
          </w:tcPr>
          <w:p>
            <w:pPr>
              <w:keepNext w:val="0"/>
              <w:keepLines w:val="0"/>
              <w:widowControl/>
              <w:suppressLineNumbers w:val="0"/>
              <w:spacing w:before="0" w:beforeAutospacing="0" w:after="0" w:afterAutospacing="0" w:line="435" w:lineRule="atLeast"/>
              <w:ind w:left="0" w:right="0"/>
              <w:jc w:val="center"/>
              <w:rPr>
                <w:rFonts w:hint="default" w:ascii="宋体" w:hAnsi="宋体" w:cs="宋体"/>
                <w:b/>
                <w:bCs/>
                <w:color w:val="auto"/>
                <w:kern w:val="0"/>
                <w:szCs w:val="21"/>
                <w:highlight w:val="none"/>
              </w:rPr>
            </w:pPr>
            <w:r>
              <w:rPr>
                <w:rFonts w:hint="eastAsia" w:ascii="宋体" w:hAnsi="宋体" w:cs="宋体"/>
                <w:b/>
                <w:bCs/>
                <w:color w:val="auto"/>
                <w:kern w:val="0"/>
                <w:szCs w:val="21"/>
                <w:highlight w:val="none"/>
              </w:rPr>
              <w:t>学历证书/职称证书</w:t>
            </w:r>
          </w:p>
        </w:tc>
        <w:tc>
          <w:tcPr>
            <w:tcW w:w="2491" w:type="dxa"/>
          </w:tcPr>
          <w:p>
            <w:pPr>
              <w:keepNext w:val="0"/>
              <w:keepLines w:val="0"/>
              <w:widowControl/>
              <w:suppressLineNumbers w:val="0"/>
              <w:spacing w:before="0" w:beforeAutospacing="0" w:after="0" w:afterAutospacing="0" w:line="435" w:lineRule="atLeast"/>
              <w:ind w:left="0" w:right="0"/>
              <w:jc w:val="center"/>
              <w:rPr>
                <w:rFonts w:hint="default" w:ascii="宋体" w:hAnsi="宋体" w:cs="宋体"/>
                <w:b/>
                <w:bCs/>
                <w:color w:val="auto"/>
                <w:kern w:val="0"/>
                <w:szCs w:val="21"/>
                <w:highlight w:val="none"/>
              </w:rPr>
            </w:pPr>
            <w:r>
              <w:rPr>
                <w:rFonts w:hint="eastAsia" w:ascii="宋体" w:hAnsi="宋体" w:cs="宋体"/>
                <w:b/>
                <w:bCs/>
                <w:color w:val="auto"/>
                <w:kern w:val="0"/>
                <w:szCs w:val="21"/>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90" w:type="dxa"/>
          </w:tcPr>
          <w:p>
            <w:pPr>
              <w:keepNext w:val="0"/>
              <w:keepLines w:val="0"/>
              <w:widowControl/>
              <w:suppressLineNumbers w:val="0"/>
              <w:spacing w:before="0" w:beforeAutospacing="0" w:after="0" w:afterAutospacing="0" w:line="435" w:lineRule="atLeast"/>
              <w:ind w:left="0" w:right="0"/>
              <w:jc w:val="center"/>
              <w:rPr>
                <w:rFonts w:hint="default" w:ascii="宋体" w:hAnsi="宋体" w:cs="宋体"/>
                <w:color w:val="auto"/>
                <w:kern w:val="0"/>
                <w:szCs w:val="21"/>
                <w:highlight w:val="none"/>
              </w:rPr>
            </w:pPr>
          </w:p>
        </w:tc>
        <w:tc>
          <w:tcPr>
            <w:tcW w:w="2490" w:type="dxa"/>
          </w:tcPr>
          <w:p>
            <w:pPr>
              <w:keepNext w:val="0"/>
              <w:keepLines w:val="0"/>
              <w:widowControl/>
              <w:suppressLineNumbers w:val="0"/>
              <w:spacing w:before="0" w:beforeAutospacing="0" w:after="0" w:afterAutospacing="0" w:line="435" w:lineRule="atLeast"/>
              <w:ind w:left="0" w:right="0"/>
              <w:jc w:val="center"/>
              <w:rPr>
                <w:rFonts w:hint="default" w:ascii="宋体" w:hAnsi="宋体" w:cs="宋体"/>
                <w:color w:val="auto"/>
                <w:kern w:val="0"/>
                <w:szCs w:val="21"/>
                <w:highlight w:val="none"/>
              </w:rPr>
            </w:pPr>
          </w:p>
        </w:tc>
        <w:tc>
          <w:tcPr>
            <w:tcW w:w="2491" w:type="dxa"/>
          </w:tcPr>
          <w:p>
            <w:pPr>
              <w:keepNext w:val="0"/>
              <w:keepLines w:val="0"/>
              <w:widowControl/>
              <w:suppressLineNumbers w:val="0"/>
              <w:spacing w:before="0" w:beforeAutospacing="0" w:after="0" w:afterAutospacing="0" w:line="435" w:lineRule="atLeast"/>
              <w:ind w:left="0" w:right="0"/>
              <w:jc w:val="center"/>
              <w:rPr>
                <w:rFonts w:hint="default" w:ascii="宋体" w:hAnsi="宋体" w:cs="宋体"/>
                <w:color w:val="auto"/>
                <w:kern w:val="0"/>
                <w:szCs w:val="21"/>
                <w:highlight w:val="none"/>
              </w:rPr>
            </w:pPr>
            <w:r>
              <w:rPr>
                <w:rFonts w:hint="eastAsia" w:ascii="宋体" w:hAnsi="宋体" w:cs="宋体"/>
                <w:color w:val="auto"/>
                <w:kern w:val="0"/>
                <w:szCs w:val="21"/>
                <w:highlight w:val="none"/>
              </w:rPr>
              <w:t>附后</w:t>
            </w:r>
          </w:p>
        </w:tc>
        <w:tc>
          <w:tcPr>
            <w:tcW w:w="2491" w:type="dxa"/>
          </w:tcPr>
          <w:p>
            <w:pPr>
              <w:keepNext w:val="0"/>
              <w:keepLines w:val="0"/>
              <w:widowControl/>
              <w:suppressLineNumbers w:val="0"/>
              <w:spacing w:before="0" w:beforeAutospacing="0" w:after="0" w:afterAutospacing="0" w:line="435" w:lineRule="atLeast"/>
              <w:ind w:left="0" w:right="0"/>
              <w:jc w:val="center"/>
              <w:rPr>
                <w:rFonts w:hint="default" w:ascii="宋体" w:hAnsi="宋体" w:cs="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90" w:type="dxa"/>
          </w:tcPr>
          <w:p>
            <w:pPr>
              <w:keepNext w:val="0"/>
              <w:keepLines w:val="0"/>
              <w:widowControl/>
              <w:suppressLineNumbers w:val="0"/>
              <w:spacing w:before="0" w:beforeAutospacing="0" w:after="0" w:afterAutospacing="0" w:line="435" w:lineRule="atLeast"/>
              <w:ind w:left="0" w:right="0"/>
              <w:jc w:val="center"/>
              <w:rPr>
                <w:rFonts w:hint="default" w:ascii="宋体" w:hAnsi="宋体" w:cs="宋体"/>
                <w:color w:val="auto"/>
                <w:kern w:val="0"/>
                <w:szCs w:val="21"/>
                <w:highlight w:val="none"/>
              </w:rPr>
            </w:pPr>
            <w:r>
              <w:rPr>
                <w:rFonts w:hint="eastAsia" w:ascii="宋体" w:hAnsi="宋体" w:cs="宋体"/>
                <w:color w:val="auto"/>
                <w:kern w:val="0"/>
                <w:szCs w:val="21"/>
                <w:highlight w:val="none"/>
              </w:rPr>
              <w:t>...</w:t>
            </w:r>
          </w:p>
        </w:tc>
        <w:tc>
          <w:tcPr>
            <w:tcW w:w="2490" w:type="dxa"/>
          </w:tcPr>
          <w:p>
            <w:pPr>
              <w:keepNext w:val="0"/>
              <w:keepLines w:val="0"/>
              <w:widowControl/>
              <w:suppressLineNumbers w:val="0"/>
              <w:spacing w:before="0" w:beforeAutospacing="0" w:after="0" w:afterAutospacing="0" w:line="435" w:lineRule="atLeast"/>
              <w:ind w:left="0" w:right="0"/>
              <w:jc w:val="center"/>
              <w:rPr>
                <w:rFonts w:hint="default" w:ascii="宋体" w:hAnsi="宋体" w:cs="宋体"/>
                <w:color w:val="auto"/>
                <w:kern w:val="0"/>
                <w:szCs w:val="21"/>
                <w:highlight w:val="none"/>
              </w:rPr>
            </w:pPr>
            <w:r>
              <w:rPr>
                <w:rFonts w:hint="eastAsia" w:ascii="宋体" w:hAnsi="宋体" w:cs="宋体"/>
                <w:color w:val="auto"/>
                <w:kern w:val="0"/>
                <w:szCs w:val="21"/>
                <w:highlight w:val="none"/>
              </w:rPr>
              <w:t>...</w:t>
            </w:r>
          </w:p>
        </w:tc>
        <w:tc>
          <w:tcPr>
            <w:tcW w:w="2491" w:type="dxa"/>
          </w:tcPr>
          <w:p>
            <w:pPr>
              <w:keepNext w:val="0"/>
              <w:keepLines w:val="0"/>
              <w:widowControl/>
              <w:suppressLineNumbers w:val="0"/>
              <w:spacing w:before="0" w:beforeAutospacing="0" w:after="0" w:afterAutospacing="0" w:line="435" w:lineRule="atLeast"/>
              <w:ind w:left="0" w:right="0"/>
              <w:jc w:val="center"/>
              <w:rPr>
                <w:rFonts w:hint="default" w:ascii="宋体" w:hAnsi="宋体" w:cs="宋体"/>
                <w:color w:val="auto"/>
                <w:kern w:val="0"/>
                <w:szCs w:val="21"/>
                <w:highlight w:val="none"/>
              </w:rPr>
            </w:pPr>
            <w:r>
              <w:rPr>
                <w:rFonts w:hint="eastAsia" w:ascii="宋体" w:hAnsi="宋体" w:cs="宋体"/>
                <w:color w:val="auto"/>
                <w:kern w:val="0"/>
                <w:szCs w:val="21"/>
                <w:highlight w:val="none"/>
              </w:rPr>
              <w:t>...</w:t>
            </w:r>
          </w:p>
        </w:tc>
        <w:tc>
          <w:tcPr>
            <w:tcW w:w="2491" w:type="dxa"/>
          </w:tcPr>
          <w:p>
            <w:pPr>
              <w:keepNext w:val="0"/>
              <w:keepLines w:val="0"/>
              <w:widowControl/>
              <w:suppressLineNumbers w:val="0"/>
              <w:spacing w:before="0" w:beforeAutospacing="0" w:after="0" w:afterAutospacing="0" w:line="435" w:lineRule="atLeast"/>
              <w:ind w:left="0" w:right="0"/>
              <w:jc w:val="center"/>
              <w:rPr>
                <w:rFonts w:hint="default" w:ascii="宋体" w:hAnsi="宋体" w:cs="宋体"/>
                <w:b/>
                <w:bCs/>
                <w:color w:val="auto"/>
                <w:kern w:val="0"/>
                <w:szCs w:val="21"/>
                <w:highlight w:val="none"/>
              </w:rPr>
            </w:pPr>
            <w:r>
              <w:rPr>
                <w:rFonts w:hint="eastAsia" w:ascii="宋体" w:hAnsi="宋体" w:cs="宋体"/>
                <w:b/>
                <w:bCs/>
                <w:color w:val="auto"/>
                <w:kern w:val="0"/>
                <w:szCs w:val="21"/>
                <w:highlight w:val="none"/>
              </w:rPr>
              <w:t>...</w:t>
            </w:r>
          </w:p>
        </w:tc>
      </w:tr>
    </w:tbl>
    <w:p>
      <w:pPr>
        <w:pStyle w:val="12"/>
        <w:widowControl/>
        <w:spacing w:before="75" w:beforeAutospacing="0" w:after="75" w:afterAutospacing="0" w:line="435" w:lineRule="atLeast"/>
        <w:jc w:val="both"/>
        <w:rPr>
          <w:rFonts w:ascii="宋体" w:hAnsi="宋体" w:cs="宋体"/>
          <w:color w:val="auto"/>
          <w:sz w:val="21"/>
          <w:szCs w:val="21"/>
          <w:highlight w:val="none"/>
        </w:rPr>
      </w:pPr>
      <w:r>
        <w:rPr>
          <w:rStyle w:val="18"/>
          <w:rFonts w:hint="eastAsia" w:ascii="宋体" w:hAnsi="宋体" w:cs="宋体"/>
          <w:color w:val="auto"/>
          <w:sz w:val="21"/>
          <w:szCs w:val="21"/>
          <w:highlight w:val="none"/>
        </w:rPr>
        <w:t>  3.对于接受联合体形式的磋商且供应商是联合体的，则联合体各成员都应当提交本资格证明文件。</w:t>
      </w:r>
    </w:p>
    <w:p>
      <w:pPr>
        <w:pStyle w:val="12"/>
        <w:widowControl/>
        <w:spacing w:before="75" w:beforeAutospacing="0" w:after="75" w:afterAutospacing="0" w:line="435" w:lineRule="atLeast"/>
        <w:rPr>
          <w:rFonts w:ascii="宋体" w:hAnsi="宋体" w:cs="宋体"/>
          <w:color w:val="auto"/>
          <w:sz w:val="21"/>
          <w:szCs w:val="21"/>
          <w:highlight w:val="none"/>
        </w:rPr>
      </w:pPr>
      <w:r>
        <w:rPr>
          <w:rFonts w:hint="eastAsia" w:ascii="宋体" w:hAnsi="宋体" w:cs="宋体"/>
          <w:color w:val="auto"/>
          <w:sz w:val="21"/>
          <w:szCs w:val="21"/>
          <w:highlight w:val="none"/>
        </w:rPr>
        <w:t>  </w:t>
      </w:r>
    </w:p>
    <w:p>
      <w:pPr>
        <w:pStyle w:val="12"/>
        <w:widowControl/>
        <w:spacing w:before="75" w:beforeAutospacing="0" w:after="75" w:afterAutospacing="0" w:line="435" w:lineRule="atLeast"/>
        <w:jc w:val="both"/>
        <w:rPr>
          <w:rFonts w:ascii="宋体" w:hAnsi="宋体" w:cs="宋体"/>
          <w:color w:val="auto"/>
          <w:sz w:val="21"/>
          <w:szCs w:val="21"/>
          <w:highlight w:val="none"/>
        </w:rPr>
      </w:pPr>
      <w:r>
        <w:rPr>
          <w:rFonts w:hint="eastAsia" w:ascii="宋体" w:hAnsi="宋体" w:cs="宋体"/>
          <w:color w:val="auto"/>
          <w:sz w:val="21"/>
          <w:szCs w:val="21"/>
          <w:highlight w:val="none"/>
        </w:rPr>
        <w:t>供应商代表：</w:t>
      </w:r>
      <w:r>
        <w:rPr>
          <w:rFonts w:hint="eastAsia" w:ascii="宋体" w:hAnsi="宋体" w:cs="宋体"/>
          <w:color w:val="auto"/>
          <w:sz w:val="21"/>
          <w:szCs w:val="21"/>
          <w:highlight w:val="none"/>
          <w:u w:val="single"/>
        </w:rPr>
        <w:t>             （签字） </w:t>
      </w:r>
    </w:p>
    <w:p>
      <w:pPr>
        <w:pStyle w:val="12"/>
        <w:widowControl/>
        <w:spacing w:before="75" w:beforeAutospacing="0" w:after="75" w:afterAutospacing="0" w:line="435" w:lineRule="atLeast"/>
        <w:jc w:val="both"/>
        <w:rPr>
          <w:rFonts w:ascii="宋体" w:hAnsi="宋体" w:cs="宋体"/>
          <w:color w:val="auto"/>
          <w:sz w:val="21"/>
          <w:szCs w:val="21"/>
          <w:highlight w:val="none"/>
        </w:rPr>
      </w:pPr>
      <w:r>
        <w:rPr>
          <w:rFonts w:hint="eastAsia" w:ascii="宋体" w:hAnsi="宋体" w:cs="宋体"/>
          <w:color w:val="auto"/>
          <w:sz w:val="21"/>
          <w:szCs w:val="21"/>
          <w:highlight w:val="none"/>
        </w:rPr>
        <w:t>供应商名称：</w:t>
      </w:r>
      <w:r>
        <w:rPr>
          <w:rFonts w:hint="eastAsia" w:ascii="宋体" w:hAnsi="宋体" w:cs="宋体"/>
          <w:color w:val="auto"/>
          <w:sz w:val="21"/>
          <w:szCs w:val="21"/>
          <w:highlight w:val="none"/>
          <w:u w:val="single"/>
        </w:rPr>
        <w:t>         （全称并加盖公章）              </w:t>
      </w:r>
    </w:p>
    <w:p>
      <w:pPr>
        <w:pStyle w:val="12"/>
        <w:widowControl/>
        <w:spacing w:before="75" w:beforeAutospacing="0" w:after="75" w:afterAutospacing="0" w:line="435" w:lineRule="atLeast"/>
        <w:rPr>
          <w:rFonts w:ascii="宋体" w:hAnsi="宋体" w:cs="宋体"/>
          <w:color w:val="auto"/>
          <w:sz w:val="21"/>
          <w:szCs w:val="21"/>
          <w:highlight w:val="none"/>
        </w:rPr>
      </w:pPr>
      <w:r>
        <w:rPr>
          <w:rFonts w:hint="eastAsia" w:ascii="宋体" w:hAnsi="宋体" w:cs="宋体"/>
          <w:color w:val="auto"/>
          <w:sz w:val="21"/>
          <w:szCs w:val="21"/>
          <w:highlight w:val="none"/>
        </w:rPr>
        <w:t>日  期： </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年 </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月 </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日</w:t>
      </w:r>
    </w:p>
    <w:p>
      <w:pPr>
        <w:pStyle w:val="12"/>
        <w:widowControl/>
        <w:spacing w:before="75" w:beforeAutospacing="0" w:after="75" w:afterAutospacing="0" w:line="435" w:lineRule="atLeast"/>
        <w:jc w:val="center"/>
        <w:rPr>
          <w:rFonts w:ascii="宋体" w:hAnsi="宋体" w:cs="宋体"/>
          <w:b/>
          <w:bCs/>
          <w:color w:val="auto"/>
          <w:sz w:val="21"/>
          <w:szCs w:val="21"/>
          <w:highlight w:val="none"/>
        </w:rPr>
      </w:pPr>
      <w:r>
        <w:rPr>
          <w:rFonts w:hint="eastAsia" w:ascii="宋体" w:hAnsi="宋体" w:cs="宋体"/>
          <w:b/>
          <w:bCs/>
          <w:color w:val="auto"/>
          <w:sz w:val="21"/>
          <w:szCs w:val="21"/>
          <w:highlight w:val="none"/>
        </w:rPr>
        <w:br w:type="page"/>
      </w:r>
      <w:r>
        <w:rPr>
          <w:rFonts w:hint="eastAsia" w:ascii="宋体" w:hAnsi="宋体" w:cs="宋体"/>
          <w:b/>
          <w:bCs/>
          <w:color w:val="auto"/>
          <w:sz w:val="21"/>
          <w:szCs w:val="21"/>
          <w:highlight w:val="none"/>
        </w:rPr>
        <w:t>附件3-9    </w:t>
      </w:r>
      <w:r>
        <w:rPr>
          <w:rStyle w:val="18"/>
          <w:rFonts w:hint="eastAsia" w:ascii="宋体" w:hAnsi="宋体" w:cs="宋体"/>
          <w:bCs/>
          <w:color w:val="auto"/>
          <w:sz w:val="21"/>
          <w:szCs w:val="21"/>
          <w:highlight w:val="none"/>
        </w:rPr>
        <w:t>参加采购活动前三年内在经营活动中没有重大违法记录书面声明</w:t>
      </w:r>
    </w:p>
    <w:p>
      <w:pPr>
        <w:pStyle w:val="12"/>
        <w:widowControl/>
        <w:spacing w:before="75" w:beforeAutospacing="0" w:after="75" w:afterAutospacing="0" w:line="435" w:lineRule="atLeast"/>
        <w:rPr>
          <w:rFonts w:ascii="宋体" w:hAnsi="宋体" w:cs="宋体"/>
          <w:color w:val="auto"/>
          <w:sz w:val="21"/>
          <w:szCs w:val="21"/>
          <w:highlight w:val="none"/>
        </w:rPr>
      </w:pPr>
      <w:r>
        <w:rPr>
          <w:rFonts w:hint="eastAsia" w:ascii="宋体" w:hAnsi="宋体" w:cs="宋体"/>
          <w:color w:val="auto"/>
          <w:sz w:val="21"/>
          <w:szCs w:val="21"/>
          <w:highlight w:val="none"/>
        </w:rPr>
        <w:t> </w:t>
      </w:r>
    </w:p>
    <w:p>
      <w:pPr>
        <w:pStyle w:val="12"/>
        <w:widowControl/>
        <w:spacing w:before="75" w:beforeAutospacing="0" w:after="75" w:afterAutospacing="0" w:line="435" w:lineRule="atLeast"/>
        <w:rPr>
          <w:rFonts w:ascii="宋体" w:hAnsi="宋体" w:cs="宋体"/>
          <w:color w:val="auto"/>
          <w:sz w:val="21"/>
          <w:szCs w:val="21"/>
          <w:highlight w:val="none"/>
        </w:rPr>
      </w:pPr>
      <w:r>
        <w:rPr>
          <w:rFonts w:hint="eastAsia" w:ascii="宋体" w:hAnsi="宋体" w:cs="宋体"/>
          <w:color w:val="auto"/>
          <w:sz w:val="21"/>
          <w:szCs w:val="21"/>
          <w:highlight w:val="none"/>
        </w:rPr>
        <w:t>致：</w:t>
      </w:r>
      <w:r>
        <w:rPr>
          <w:rFonts w:hint="eastAsia" w:ascii="宋体" w:hAnsi="宋体" w:cs="宋体"/>
          <w:color w:val="auto"/>
          <w:sz w:val="21"/>
          <w:szCs w:val="21"/>
          <w:highlight w:val="none"/>
          <w:u w:val="single"/>
        </w:rPr>
        <w:t>宁德市有信产权交易服务有限公司</w:t>
      </w:r>
    </w:p>
    <w:p>
      <w:pPr>
        <w:pStyle w:val="12"/>
        <w:widowControl/>
        <w:spacing w:before="75" w:beforeAutospacing="0" w:after="75" w:afterAutospacing="0" w:line="435" w:lineRule="atLeast"/>
        <w:ind w:firstLine="480"/>
        <w:rPr>
          <w:rFonts w:ascii="宋体" w:hAnsi="宋体" w:cs="宋体"/>
          <w:color w:val="auto"/>
          <w:sz w:val="21"/>
          <w:szCs w:val="21"/>
          <w:highlight w:val="none"/>
        </w:rPr>
      </w:pPr>
      <w:r>
        <w:rPr>
          <w:rFonts w:hint="eastAsia" w:ascii="宋体" w:hAnsi="宋体" w:cs="宋体"/>
          <w:color w:val="auto"/>
          <w:sz w:val="21"/>
          <w:szCs w:val="21"/>
          <w:highlight w:val="none"/>
        </w:rPr>
        <w:t>参加采购活动前三年内，我方在经营活动中没有重大违法记录，也无行贿犯罪记录。</w:t>
      </w:r>
    </w:p>
    <w:p>
      <w:pPr>
        <w:pStyle w:val="12"/>
        <w:widowControl/>
        <w:spacing w:before="75" w:beforeAutospacing="0" w:after="75" w:afterAutospacing="0" w:line="435" w:lineRule="atLeast"/>
        <w:ind w:firstLine="480"/>
        <w:rPr>
          <w:rFonts w:ascii="宋体" w:hAnsi="宋体" w:cs="宋体"/>
          <w:color w:val="auto"/>
          <w:sz w:val="21"/>
          <w:szCs w:val="21"/>
          <w:highlight w:val="none"/>
        </w:rPr>
      </w:pPr>
      <w:r>
        <w:rPr>
          <w:rFonts w:hint="eastAsia" w:ascii="宋体" w:hAnsi="宋体" w:cs="宋体"/>
          <w:color w:val="auto"/>
          <w:sz w:val="21"/>
          <w:szCs w:val="21"/>
          <w:highlight w:val="none"/>
        </w:rPr>
        <w:t>特此声明。</w:t>
      </w:r>
    </w:p>
    <w:p>
      <w:pPr>
        <w:pStyle w:val="12"/>
        <w:widowControl/>
        <w:spacing w:before="75" w:beforeAutospacing="0" w:after="75" w:afterAutospacing="0" w:line="435" w:lineRule="atLeast"/>
        <w:rPr>
          <w:rFonts w:ascii="宋体" w:hAnsi="宋体" w:cs="宋体"/>
          <w:color w:val="auto"/>
          <w:sz w:val="21"/>
          <w:szCs w:val="21"/>
          <w:highlight w:val="none"/>
        </w:rPr>
      </w:pPr>
      <w:r>
        <w:rPr>
          <w:rFonts w:hint="eastAsia" w:ascii="宋体" w:hAnsi="宋体" w:cs="宋体"/>
          <w:color w:val="auto"/>
          <w:sz w:val="21"/>
          <w:szCs w:val="21"/>
          <w:highlight w:val="none"/>
        </w:rPr>
        <w:t> </w:t>
      </w:r>
    </w:p>
    <w:p>
      <w:pPr>
        <w:pStyle w:val="12"/>
        <w:widowControl/>
        <w:spacing w:before="75" w:beforeAutospacing="0" w:after="75" w:afterAutospacing="0" w:line="435" w:lineRule="atLeast"/>
        <w:rPr>
          <w:rFonts w:ascii="宋体" w:hAnsi="宋体" w:cs="宋体"/>
          <w:color w:val="auto"/>
          <w:sz w:val="21"/>
          <w:szCs w:val="21"/>
          <w:highlight w:val="none"/>
        </w:rPr>
      </w:pPr>
      <w:r>
        <w:rPr>
          <w:rFonts w:hint="eastAsia" w:ascii="宋体" w:hAnsi="宋体" w:cs="宋体"/>
          <w:color w:val="auto"/>
          <w:sz w:val="21"/>
          <w:szCs w:val="21"/>
          <w:highlight w:val="none"/>
        </w:rPr>
        <w:t>※注意：</w:t>
      </w:r>
    </w:p>
    <w:p>
      <w:pPr>
        <w:pStyle w:val="12"/>
        <w:widowControl/>
        <w:spacing w:before="75" w:beforeAutospacing="0" w:after="75" w:afterAutospacing="0" w:line="435" w:lineRule="atLeast"/>
        <w:rPr>
          <w:rFonts w:ascii="宋体" w:hAnsi="宋体" w:cs="宋体"/>
          <w:color w:val="auto"/>
          <w:sz w:val="21"/>
          <w:szCs w:val="21"/>
          <w:highlight w:val="none"/>
        </w:rPr>
      </w:pPr>
      <w:r>
        <w:rPr>
          <w:rFonts w:hint="eastAsia" w:ascii="宋体" w:hAnsi="宋体" w:cs="宋体"/>
          <w:color w:val="auto"/>
          <w:sz w:val="21"/>
          <w:szCs w:val="21"/>
          <w:highlight w:val="none"/>
        </w:rPr>
        <w:t>1、“重大违法记录”指投标人因违法经营受到刑事处罚或责令停产停业、吊销许可证或执照、较大数额罚款等行政处罚。根据财库〔2022〕3号文件的规定，“较大数额罚款”认定为200万元以上的罚款，法律、行政法规以及国务院有关部门明确规定相关领域“较大数额罚款”标准高于200万元的，从其规定。</w:t>
      </w:r>
    </w:p>
    <w:p>
      <w:pPr>
        <w:pStyle w:val="12"/>
        <w:widowControl/>
        <w:spacing w:before="75" w:beforeAutospacing="0" w:after="75" w:afterAutospacing="0" w:line="435" w:lineRule="atLeast"/>
        <w:rPr>
          <w:rFonts w:ascii="宋体" w:hAnsi="宋体" w:cs="宋体"/>
          <w:color w:val="auto"/>
          <w:sz w:val="21"/>
          <w:szCs w:val="21"/>
          <w:highlight w:val="none"/>
        </w:rPr>
      </w:pPr>
      <w:r>
        <w:rPr>
          <w:rFonts w:hint="eastAsia" w:ascii="宋体" w:hAnsi="宋体" w:cs="宋体"/>
          <w:color w:val="auto"/>
          <w:sz w:val="21"/>
          <w:szCs w:val="21"/>
          <w:highlight w:val="none"/>
        </w:rPr>
        <w:t>2、请供应商根据实际情况如实声明，否则视为提供虚假材料。磋商小组有权通过国家企业信用信息公式系统及其他政府门户网站进行核实。 </w:t>
      </w:r>
    </w:p>
    <w:p>
      <w:pPr>
        <w:pStyle w:val="12"/>
        <w:widowControl/>
        <w:spacing w:before="75" w:beforeAutospacing="0" w:after="75" w:afterAutospacing="0" w:line="435" w:lineRule="atLeast"/>
        <w:rPr>
          <w:rFonts w:ascii="宋体" w:hAnsi="宋体" w:cs="宋体"/>
          <w:color w:val="auto"/>
          <w:sz w:val="21"/>
          <w:szCs w:val="21"/>
          <w:highlight w:val="none"/>
        </w:rPr>
      </w:pPr>
      <w:r>
        <w:rPr>
          <w:rFonts w:hint="eastAsia" w:ascii="宋体" w:hAnsi="宋体" w:cs="宋体"/>
          <w:color w:val="auto"/>
          <w:sz w:val="21"/>
          <w:szCs w:val="21"/>
          <w:highlight w:val="none"/>
        </w:rPr>
        <w:t>3、对于接受联合体形式的磋商且供应商是联合体的，则联合体各成员都应当提交本资格证明文件。</w:t>
      </w:r>
    </w:p>
    <w:p>
      <w:pPr>
        <w:pStyle w:val="12"/>
        <w:widowControl/>
        <w:spacing w:before="75" w:beforeAutospacing="0" w:after="75" w:afterAutospacing="0" w:line="435" w:lineRule="atLeast"/>
        <w:rPr>
          <w:rFonts w:ascii="宋体" w:hAnsi="宋体" w:cs="宋体"/>
          <w:color w:val="auto"/>
          <w:sz w:val="21"/>
          <w:szCs w:val="21"/>
          <w:highlight w:val="none"/>
        </w:rPr>
      </w:pPr>
      <w:r>
        <w:rPr>
          <w:rFonts w:hint="eastAsia" w:ascii="宋体" w:hAnsi="宋体" w:cs="宋体"/>
          <w:color w:val="auto"/>
          <w:sz w:val="21"/>
          <w:szCs w:val="21"/>
          <w:highlight w:val="none"/>
        </w:rPr>
        <w:t> </w:t>
      </w:r>
    </w:p>
    <w:p>
      <w:pPr>
        <w:pStyle w:val="12"/>
        <w:widowControl/>
        <w:spacing w:before="75" w:beforeAutospacing="0" w:after="75" w:afterAutospacing="0" w:line="435" w:lineRule="atLeast"/>
        <w:rPr>
          <w:rFonts w:ascii="宋体" w:hAnsi="宋体" w:cs="宋体"/>
          <w:color w:val="auto"/>
          <w:sz w:val="21"/>
          <w:szCs w:val="21"/>
          <w:highlight w:val="none"/>
        </w:rPr>
      </w:pPr>
      <w:r>
        <w:rPr>
          <w:rFonts w:hint="eastAsia" w:ascii="宋体" w:hAnsi="宋体" w:cs="宋体"/>
          <w:color w:val="auto"/>
          <w:sz w:val="21"/>
          <w:szCs w:val="21"/>
          <w:highlight w:val="none"/>
        </w:rPr>
        <w:t> </w:t>
      </w:r>
    </w:p>
    <w:p>
      <w:pPr>
        <w:pStyle w:val="12"/>
        <w:widowControl/>
        <w:spacing w:before="75" w:beforeAutospacing="0" w:after="75" w:afterAutospacing="0" w:line="435" w:lineRule="atLeast"/>
        <w:jc w:val="both"/>
        <w:rPr>
          <w:rFonts w:ascii="宋体" w:hAnsi="宋体" w:cs="宋体"/>
          <w:color w:val="auto"/>
          <w:sz w:val="21"/>
          <w:szCs w:val="21"/>
          <w:highlight w:val="none"/>
        </w:rPr>
      </w:pPr>
      <w:r>
        <w:rPr>
          <w:rFonts w:hint="eastAsia" w:ascii="宋体" w:hAnsi="宋体" w:cs="宋体"/>
          <w:color w:val="auto"/>
          <w:sz w:val="21"/>
          <w:szCs w:val="21"/>
          <w:highlight w:val="none"/>
        </w:rPr>
        <w:t>供应商代表：</w:t>
      </w:r>
      <w:r>
        <w:rPr>
          <w:rFonts w:hint="eastAsia" w:ascii="宋体" w:hAnsi="宋体" w:cs="宋体"/>
          <w:color w:val="auto"/>
          <w:sz w:val="21"/>
          <w:szCs w:val="21"/>
          <w:highlight w:val="none"/>
          <w:u w:val="single"/>
        </w:rPr>
        <w:t>             （签字） </w:t>
      </w:r>
    </w:p>
    <w:p>
      <w:pPr>
        <w:pStyle w:val="12"/>
        <w:widowControl/>
        <w:spacing w:before="75" w:beforeAutospacing="0" w:after="75" w:afterAutospacing="0" w:line="435" w:lineRule="atLeast"/>
        <w:jc w:val="both"/>
        <w:rPr>
          <w:rFonts w:ascii="宋体" w:hAnsi="宋体" w:cs="宋体"/>
          <w:color w:val="auto"/>
          <w:sz w:val="21"/>
          <w:szCs w:val="21"/>
          <w:highlight w:val="none"/>
        </w:rPr>
      </w:pPr>
      <w:r>
        <w:rPr>
          <w:rFonts w:hint="eastAsia" w:ascii="宋体" w:hAnsi="宋体" w:cs="宋体"/>
          <w:color w:val="auto"/>
          <w:sz w:val="21"/>
          <w:szCs w:val="21"/>
          <w:highlight w:val="none"/>
        </w:rPr>
        <w:t>供应商名称：</w:t>
      </w:r>
      <w:r>
        <w:rPr>
          <w:rFonts w:hint="eastAsia" w:ascii="宋体" w:hAnsi="宋体" w:cs="宋体"/>
          <w:color w:val="auto"/>
          <w:sz w:val="21"/>
          <w:szCs w:val="21"/>
          <w:highlight w:val="none"/>
          <w:u w:val="single"/>
        </w:rPr>
        <w:t>         （全称并加盖公章）              </w:t>
      </w:r>
    </w:p>
    <w:p>
      <w:pPr>
        <w:pStyle w:val="12"/>
        <w:widowControl/>
        <w:spacing w:before="75" w:beforeAutospacing="0" w:after="75" w:afterAutospacing="0" w:line="435" w:lineRule="atLeast"/>
        <w:rPr>
          <w:rFonts w:ascii="宋体" w:hAnsi="宋体" w:cs="宋体"/>
          <w:color w:val="auto"/>
          <w:sz w:val="21"/>
          <w:szCs w:val="21"/>
          <w:highlight w:val="none"/>
        </w:rPr>
      </w:pPr>
      <w:r>
        <w:rPr>
          <w:rFonts w:hint="eastAsia" w:ascii="宋体" w:hAnsi="宋体" w:cs="宋体"/>
          <w:color w:val="auto"/>
          <w:sz w:val="21"/>
          <w:szCs w:val="21"/>
          <w:highlight w:val="none"/>
        </w:rPr>
        <w:t>日  期： </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年 </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月 </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日</w:t>
      </w:r>
    </w:p>
    <w:p>
      <w:pPr>
        <w:pStyle w:val="12"/>
        <w:widowControl/>
        <w:spacing w:before="75" w:beforeAutospacing="0" w:after="75" w:afterAutospacing="0" w:line="435" w:lineRule="atLeast"/>
        <w:rPr>
          <w:rFonts w:ascii="宋体" w:hAnsi="宋体" w:cs="宋体"/>
          <w:color w:val="auto"/>
          <w:sz w:val="21"/>
          <w:szCs w:val="21"/>
          <w:highlight w:val="none"/>
        </w:rPr>
      </w:pPr>
      <w:r>
        <w:rPr>
          <w:rFonts w:hint="eastAsia" w:ascii="宋体" w:hAnsi="宋体" w:cs="宋体"/>
          <w:color w:val="auto"/>
          <w:sz w:val="21"/>
          <w:szCs w:val="21"/>
          <w:highlight w:val="none"/>
        </w:rPr>
        <w:t> </w:t>
      </w:r>
    </w:p>
    <w:p>
      <w:pPr>
        <w:pStyle w:val="12"/>
        <w:widowControl/>
        <w:spacing w:before="75" w:beforeAutospacing="0" w:after="75" w:afterAutospacing="0" w:line="435" w:lineRule="atLeast"/>
        <w:rPr>
          <w:rFonts w:ascii="宋体" w:hAnsi="宋体" w:cs="宋体"/>
          <w:color w:val="auto"/>
          <w:sz w:val="21"/>
          <w:szCs w:val="21"/>
          <w:highlight w:val="none"/>
        </w:rPr>
      </w:pPr>
      <w:r>
        <w:rPr>
          <w:rFonts w:hint="eastAsia" w:ascii="宋体" w:hAnsi="宋体" w:cs="宋体"/>
          <w:color w:val="auto"/>
          <w:sz w:val="21"/>
          <w:szCs w:val="21"/>
          <w:highlight w:val="none"/>
        </w:rPr>
        <w:t> </w:t>
      </w:r>
    </w:p>
    <w:p>
      <w:pPr>
        <w:pStyle w:val="12"/>
        <w:widowControl/>
        <w:spacing w:before="75" w:beforeAutospacing="0" w:after="75" w:afterAutospacing="0" w:line="435" w:lineRule="atLeast"/>
        <w:rPr>
          <w:rFonts w:ascii="宋体" w:hAnsi="宋体" w:cs="宋体"/>
          <w:color w:val="auto"/>
          <w:sz w:val="21"/>
          <w:szCs w:val="21"/>
          <w:highlight w:val="none"/>
        </w:rPr>
      </w:pPr>
      <w:r>
        <w:rPr>
          <w:rFonts w:hint="eastAsia" w:ascii="宋体" w:hAnsi="宋体" w:cs="宋体"/>
          <w:color w:val="auto"/>
          <w:sz w:val="21"/>
          <w:szCs w:val="21"/>
          <w:highlight w:val="none"/>
        </w:rPr>
        <w:t> </w:t>
      </w:r>
    </w:p>
    <w:p>
      <w:pPr>
        <w:pStyle w:val="12"/>
        <w:widowControl/>
        <w:spacing w:before="75" w:beforeAutospacing="0" w:after="75" w:afterAutospacing="0" w:line="435" w:lineRule="atLeast"/>
        <w:rPr>
          <w:rFonts w:ascii="宋体" w:hAnsi="宋体" w:cs="宋体"/>
          <w:color w:val="auto"/>
          <w:sz w:val="21"/>
          <w:szCs w:val="21"/>
          <w:highlight w:val="none"/>
        </w:rPr>
      </w:pPr>
      <w:r>
        <w:rPr>
          <w:rFonts w:hint="eastAsia" w:ascii="宋体" w:hAnsi="宋体" w:cs="宋体"/>
          <w:color w:val="auto"/>
          <w:sz w:val="21"/>
          <w:szCs w:val="21"/>
          <w:highlight w:val="none"/>
        </w:rPr>
        <w:t> </w:t>
      </w:r>
    </w:p>
    <w:p>
      <w:pPr>
        <w:pStyle w:val="12"/>
        <w:widowControl/>
        <w:spacing w:before="75" w:beforeAutospacing="0" w:after="75" w:afterAutospacing="0" w:line="435" w:lineRule="atLeast"/>
        <w:rPr>
          <w:rFonts w:ascii="宋体" w:hAnsi="宋体" w:cs="宋体"/>
          <w:color w:val="auto"/>
          <w:sz w:val="21"/>
          <w:szCs w:val="21"/>
          <w:highlight w:val="none"/>
        </w:rPr>
      </w:pPr>
    </w:p>
    <w:p>
      <w:pPr>
        <w:pStyle w:val="12"/>
        <w:widowControl/>
        <w:spacing w:before="75" w:beforeAutospacing="0" w:after="75" w:afterAutospacing="0" w:line="435" w:lineRule="atLeast"/>
        <w:rPr>
          <w:rFonts w:ascii="宋体" w:hAnsi="宋体" w:cs="宋体"/>
          <w:color w:val="auto"/>
          <w:sz w:val="21"/>
          <w:szCs w:val="21"/>
          <w:highlight w:val="none"/>
        </w:rPr>
      </w:pPr>
    </w:p>
    <w:p>
      <w:pPr>
        <w:pStyle w:val="12"/>
        <w:widowControl/>
        <w:spacing w:before="75" w:beforeAutospacing="0" w:after="75" w:afterAutospacing="0" w:line="435" w:lineRule="atLeast"/>
        <w:jc w:val="center"/>
        <w:rPr>
          <w:rFonts w:ascii="宋体" w:hAnsi="宋体" w:cs="宋体"/>
          <w:color w:val="auto"/>
          <w:sz w:val="21"/>
          <w:szCs w:val="21"/>
          <w:highlight w:val="none"/>
        </w:rPr>
      </w:pPr>
      <w:r>
        <w:rPr>
          <w:rFonts w:hint="eastAsia" w:ascii="宋体" w:hAnsi="宋体" w:cs="宋体"/>
          <w:color w:val="auto"/>
          <w:sz w:val="21"/>
          <w:szCs w:val="21"/>
          <w:highlight w:val="none"/>
        </w:rPr>
        <w:br w:type="page"/>
      </w:r>
      <w:r>
        <w:rPr>
          <w:rFonts w:hint="eastAsia" w:ascii="宋体" w:hAnsi="宋体" w:cs="宋体"/>
          <w:b/>
          <w:bCs/>
          <w:color w:val="auto"/>
          <w:sz w:val="21"/>
          <w:szCs w:val="21"/>
          <w:highlight w:val="none"/>
        </w:rPr>
        <w:t>附件3-10    </w:t>
      </w:r>
      <w:r>
        <w:rPr>
          <w:rStyle w:val="18"/>
          <w:rFonts w:hint="eastAsia" w:ascii="宋体" w:hAnsi="宋体" w:cs="宋体"/>
          <w:bCs/>
          <w:color w:val="auto"/>
          <w:sz w:val="21"/>
          <w:szCs w:val="21"/>
          <w:highlight w:val="none"/>
        </w:rPr>
        <w:t>信用记录查询结果</w:t>
      </w:r>
    </w:p>
    <w:p>
      <w:pPr>
        <w:pStyle w:val="12"/>
        <w:widowControl/>
        <w:spacing w:before="75" w:beforeAutospacing="0" w:after="75" w:afterAutospacing="0" w:line="435" w:lineRule="atLeast"/>
        <w:rPr>
          <w:rFonts w:ascii="宋体" w:hAnsi="宋体" w:cs="宋体"/>
          <w:color w:val="auto"/>
          <w:sz w:val="21"/>
          <w:szCs w:val="21"/>
          <w:highlight w:val="none"/>
        </w:rPr>
      </w:pPr>
      <w:r>
        <w:rPr>
          <w:rFonts w:hint="eastAsia" w:ascii="宋体" w:hAnsi="宋体" w:cs="宋体"/>
          <w:color w:val="auto"/>
          <w:sz w:val="21"/>
          <w:szCs w:val="21"/>
          <w:highlight w:val="none"/>
        </w:rPr>
        <w:t> </w:t>
      </w:r>
    </w:p>
    <w:p>
      <w:pPr>
        <w:pStyle w:val="12"/>
        <w:widowControl/>
        <w:spacing w:before="75" w:beforeAutospacing="0" w:after="75" w:afterAutospacing="0" w:line="435" w:lineRule="atLeast"/>
        <w:rPr>
          <w:rFonts w:ascii="宋体" w:hAnsi="宋体" w:cs="宋体"/>
          <w:color w:val="auto"/>
          <w:sz w:val="21"/>
          <w:szCs w:val="21"/>
          <w:highlight w:val="none"/>
        </w:rPr>
      </w:pPr>
      <w:r>
        <w:rPr>
          <w:rFonts w:hint="eastAsia" w:ascii="宋体" w:hAnsi="宋体" w:cs="宋体"/>
          <w:color w:val="auto"/>
          <w:sz w:val="21"/>
          <w:szCs w:val="21"/>
          <w:highlight w:val="none"/>
        </w:rPr>
        <w:t>致：</w:t>
      </w:r>
      <w:r>
        <w:rPr>
          <w:rFonts w:hint="eastAsia" w:ascii="宋体" w:hAnsi="宋体" w:cs="宋体"/>
          <w:color w:val="auto"/>
          <w:sz w:val="21"/>
          <w:szCs w:val="21"/>
          <w:highlight w:val="none"/>
          <w:u w:val="single"/>
        </w:rPr>
        <w:t>宁德市有信产权交易服务有限公司</w:t>
      </w:r>
    </w:p>
    <w:p>
      <w:pPr>
        <w:pStyle w:val="12"/>
        <w:widowControl/>
        <w:spacing w:before="75" w:beforeAutospacing="0" w:after="75" w:afterAutospacing="0" w:line="435" w:lineRule="atLeast"/>
        <w:ind w:firstLine="480"/>
        <w:rPr>
          <w:rFonts w:ascii="宋体" w:hAnsi="宋体" w:cs="宋体"/>
          <w:color w:val="auto"/>
          <w:sz w:val="21"/>
          <w:szCs w:val="21"/>
          <w:highlight w:val="none"/>
        </w:rPr>
      </w:pPr>
      <w:r>
        <w:rPr>
          <w:rFonts w:hint="eastAsia" w:ascii="宋体" w:hAnsi="宋体" w:cs="宋体"/>
          <w:color w:val="auto"/>
          <w:sz w:val="21"/>
          <w:szCs w:val="21"/>
          <w:highlight w:val="none"/>
        </w:rPr>
        <w:t>现附上截至</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年</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月</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日</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时我方通过“信用中国”网站（www.creditchina.gov.cn）获取的我方信用信息查询结果</w:t>
      </w:r>
      <w:r>
        <w:rPr>
          <w:rFonts w:hint="eastAsia" w:ascii="宋体" w:hAnsi="宋体" w:cs="宋体"/>
          <w:color w:val="auto"/>
          <w:sz w:val="21"/>
          <w:szCs w:val="21"/>
          <w:highlight w:val="none"/>
          <w:u w:val="single"/>
        </w:rPr>
        <w:t>（填写具体份数）</w:t>
      </w:r>
      <w:r>
        <w:rPr>
          <w:rFonts w:hint="eastAsia" w:ascii="宋体" w:hAnsi="宋体" w:cs="宋体"/>
          <w:color w:val="auto"/>
          <w:sz w:val="21"/>
          <w:szCs w:val="21"/>
          <w:highlight w:val="none"/>
        </w:rPr>
        <w:t>份、通过中国政府采购网（www.ccgp.gov.cn）获取的我方信用信息查询结果</w:t>
      </w:r>
      <w:r>
        <w:rPr>
          <w:rFonts w:hint="eastAsia" w:ascii="宋体" w:hAnsi="宋体" w:cs="宋体"/>
          <w:color w:val="auto"/>
          <w:sz w:val="21"/>
          <w:szCs w:val="21"/>
          <w:highlight w:val="none"/>
          <w:u w:val="single"/>
        </w:rPr>
        <w:t>（填写具体份数）</w:t>
      </w:r>
      <w:r>
        <w:rPr>
          <w:rFonts w:hint="eastAsia" w:ascii="宋体" w:hAnsi="宋体" w:cs="宋体"/>
          <w:color w:val="auto"/>
          <w:sz w:val="21"/>
          <w:szCs w:val="21"/>
          <w:highlight w:val="none"/>
        </w:rPr>
        <w:t>份，上述信用信息查询结果真实有效，否则我方负全部责任。</w:t>
      </w:r>
    </w:p>
    <w:p>
      <w:pPr>
        <w:pStyle w:val="12"/>
        <w:widowControl/>
        <w:spacing w:before="75" w:beforeAutospacing="0" w:after="75" w:afterAutospacing="0" w:line="435" w:lineRule="atLeast"/>
        <w:rPr>
          <w:rFonts w:ascii="宋体" w:hAnsi="宋体" w:cs="宋体"/>
          <w:color w:val="auto"/>
          <w:sz w:val="21"/>
          <w:szCs w:val="21"/>
          <w:highlight w:val="none"/>
        </w:rPr>
      </w:pPr>
      <w:r>
        <w:rPr>
          <w:rFonts w:hint="eastAsia" w:ascii="宋体" w:hAnsi="宋体" w:cs="宋体"/>
          <w:color w:val="auto"/>
          <w:sz w:val="21"/>
          <w:szCs w:val="21"/>
          <w:highlight w:val="none"/>
        </w:rPr>
        <w:t> </w:t>
      </w:r>
    </w:p>
    <w:p>
      <w:pPr>
        <w:pStyle w:val="12"/>
        <w:widowControl/>
        <w:spacing w:before="75" w:beforeAutospacing="0" w:after="75" w:afterAutospacing="0" w:line="435" w:lineRule="atLeast"/>
        <w:rPr>
          <w:rFonts w:ascii="宋体" w:hAnsi="宋体" w:cs="宋体"/>
          <w:color w:val="auto"/>
          <w:sz w:val="21"/>
          <w:szCs w:val="21"/>
          <w:highlight w:val="none"/>
        </w:rPr>
      </w:pPr>
      <w:r>
        <w:rPr>
          <w:rFonts w:hint="eastAsia" w:ascii="宋体" w:hAnsi="宋体" w:cs="宋体"/>
          <w:color w:val="auto"/>
          <w:sz w:val="21"/>
          <w:szCs w:val="21"/>
          <w:highlight w:val="none"/>
        </w:rPr>
        <w:t>※注意：</w:t>
      </w:r>
    </w:p>
    <w:p>
      <w:pPr>
        <w:pStyle w:val="12"/>
        <w:widowControl/>
        <w:spacing w:before="75" w:beforeAutospacing="0" w:after="75" w:afterAutospacing="0" w:line="435" w:lineRule="atLeast"/>
        <w:rPr>
          <w:rFonts w:ascii="宋体" w:hAnsi="宋体" w:cs="宋体"/>
          <w:color w:val="auto"/>
          <w:sz w:val="21"/>
          <w:szCs w:val="21"/>
          <w:highlight w:val="none"/>
        </w:rPr>
      </w:pPr>
      <w:r>
        <w:rPr>
          <w:rFonts w:hint="eastAsia" w:ascii="宋体" w:hAnsi="宋体" w:cs="宋体"/>
          <w:color w:val="auto"/>
          <w:sz w:val="21"/>
          <w:szCs w:val="21"/>
          <w:highlight w:val="none"/>
        </w:rPr>
        <w:t>1、供应商在询价通知书要求的截止时点前分别通过“信用中国”网站（www.creditchina.gov.cn）、中国政府采购网（www.ccgp.gov.cn）查询并打印相应的信用记录，供应商提供的查询结果应为其通过上述网站获取的信用信息查询结果原始页面的打印件（或截图）。</w:t>
      </w:r>
    </w:p>
    <w:p>
      <w:pPr>
        <w:pStyle w:val="12"/>
        <w:widowControl/>
        <w:spacing w:before="75" w:beforeAutospacing="0" w:after="75" w:afterAutospacing="0" w:line="435" w:lineRule="atLeast"/>
        <w:rPr>
          <w:rFonts w:ascii="宋体" w:hAnsi="宋体" w:cs="宋体"/>
          <w:color w:val="auto"/>
          <w:sz w:val="21"/>
          <w:szCs w:val="21"/>
          <w:highlight w:val="none"/>
        </w:rPr>
      </w:pPr>
      <w:r>
        <w:rPr>
          <w:rFonts w:hint="eastAsia" w:ascii="宋体" w:hAnsi="宋体" w:cs="宋体"/>
          <w:color w:val="auto"/>
          <w:sz w:val="21"/>
          <w:szCs w:val="21"/>
          <w:highlight w:val="none"/>
        </w:rPr>
        <w:t>2、供应商提供的查询结果与资格审查小组的查询结果不一致的或者供应商未提供的，以资格审查小组的查询结果为准。</w:t>
      </w:r>
    </w:p>
    <w:p>
      <w:pPr>
        <w:pStyle w:val="12"/>
        <w:widowControl/>
        <w:spacing w:before="75" w:beforeAutospacing="0" w:after="75" w:afterAutospacing="0" w:line="435" w:lineRule="atLeast"/>
        <w:rPr>
          <w:rFonts w:ascii="宋体" w:hAnsi="宋体" w:cs="宋体"/>
          <w:color w:val="auto"/>
          <w:sz w:val="21"/>
          <w:szCs w:val="21"/>
          <w:highlight w:val="none"/>
        </w:rPr>
      </w:pPr>
      <w:r>
        <w:rPr>
          <w:rFonts w:hint="eastAsia" w:ascii="宋体" w:hAnsi="宋体" w:cs="宋体"/>
          <w:color w:val="auto"/>
          <w:sz w:val="21"/>
          <w:szCs w:val="21"/>
          <w:highlight w:val="none"/>
        </w:rPr>
        <w:t>3、经查询，供应商参加本项目采购活动(投标截止时间)前三年内被列入失信被执行人名单、重大税收违法案件当事人名单、政府采购严重违法失信行为记录名单及其他重大违法记录且相关信用惩戒期限未满的，其资格审查不合格。</w:t>
      </w:r>
    </w:p>
    <w:p>
      <w:pPr>
        <w:pStyle w:val="12"/>
        <w:widowControl/>
        <w:spacing w:before="75" w:beforeAutospacing="0" w:after="75" w:afterAutospacing="0" w:line="435" w:lineRule="atLeast"/>
        <w:ind w:firstLine="420" w:firstLineChars="200"/>
        <w:rPr>
          <w:rFonts w:ascii="宋体" w:hAnsi="宋体" w:cs="宋体"/>
          <w:color w:val="auto"/>
          <w:sz w:val="21"/>
          <w:szCs w:val="21"/>
          <w:highlight w:val="none"/>
        </w:rPr>
      </w:pPr>
      <w:r>
        <w:rPr>
          <w:rFonts w:hint="eastAsia" w:ascii="宋体" w:hAnsi="宋体" w:cs="宋体"/>
          <w:color w:val="auto"/>
          <w:sz w:val="21"/>
          <w:szCs w:val="21"/>
          <w:highlight w:val="none"/>
        </w:rPr>
        <w:t>供应商应了解供应商自身的信用记录情况。当供应商受到200万以上罚款的行政处罚且该罚款不属较大数额罚款时，供应商应在投标文件中提供此项罚款不属于较大数额罚款的依据（如提供：相关法律制度的规定、行政执法机构对该罚款不属于较大数额罚款的认定或者其他有效依据）。</w:t>
      </w:r>
    </w:p>
    <w:p>
      <w:pPr>
        <w:pStyle w:val="12"/>
        <w:widowControl/>
        <w:spacing w:before="75" w:beforeAutospacing="0" w:after="75" w:afterAutospacing="0" w:line="435" w:lineRule="atLeast"/>
        <w:rPr>
          <w:rFonts w:ascii="宋体" w:hAnsi="宋体" w:cs="宋体"/>
          <w:bCs/>
          <w:color w:val="auto"/>
          <w:sz w:val="21"/>
          <w:szCs w:val="21"/>
          <w:highlight w:val="none"/>
        </w:rPr>
      </w:pPr>
      <w:r>
        <w:rPr>
          <w:rStyle w:val="18"/>
          <w:rFonts w:hint="eastAsia" w:ascii="宋体" w:hAnsi="宋体" w:cs="宋体"/>
          <w:color w:val="auto"/>
          <w:sz w:val="21"/>
          <w:szCs w:val="21"/>
          <w:highlight w:val="none"/>
        </w:rPr>
        <w:t>※</w:t>
      </w:r>
      <w:r>
        <w:rPr>
          <w:rStyle w:val="18"/>
          <w:rFonts w:hint="eastAsia" w:ascii="宋体" w:hAnsi="宋体" w:cs="宋体"/>
          <w:b w:val="0"/>
          <w:bCs/>
          <w:color w:val="auto"/>
          <w:sz w:val="21"/>
          <w:szCs w:val="21"/>
          <w:highlight w:val="none"/>
        </w:rPr>
        <w:t>除上述规定外，信用记录的其他有关规定（包括但不限于：信用信息的查询渠道及截止时点、查询记录和证据留存的具体方式、使用规则等内容）详见磋商文件第一章。 </w:t>
      </w:r>
    </w:p>
    <w:p>
      <w:pPr>
        <w:pStyle w:val="12"/>
        <w:widowControl/>
        <w:spacing w:before="75" w:beforeAutospacing="0" w:after="75" w:afterAutospacing="0" w:line="435" w:lineRule="atLeast"/>
        <w:rPr>
          <w:rFonts w:ascii="宋体" w:hAnsi="宋体" w:cs="宋体"/>
          <w:color w:val="auto"/>
          <w:sz w:val="21"/>
          <w:szCs w:val="21"/>
          <w:highlight w:val="none"/>
        </w:rPr>
      </w:pPr>
      <w:r>
        <w:rPr>
          <w:rFonts w:hint="eastAsia" w:ascii="宋体" w:hAnsi="宋体" w:cs="宋体"/>
          <w:color w:val="auto"/>
          <w:sz w:val="21"/>
          <w:szCs w:val="21"/>
          <w:highlight w:val="none"/>
        </w:rPr>
        <w:t> </w:t>
      </w:r>
    </w:p>
    <w:p>
      <w:pPr>
        <w:pStyle w:val="12"/>
        <w:widowControl/>
        <w:spacing w:before="75" w:beforeAutospacing="0" w:after="75" w:afterAutospacing="0" w:line="435" w:lineRule="atLeast"/>
        <w:rPr>
          <w:rFonts w:ascii="宋体" w:hAnsi="宋体" w:cs="宋体"/>
          <w:color w:val="auto"/>
          <w:sz w:val="21"/>
          <w:szCs w:val="21"/>
          <w:highlight w:val="none"/>
        </w:rPr>
      </w:pPr>
      <w:r>
        <w:rPr>
          <w:rFonts w:hint="eastAsia" w:ascii="宋体" w:hAnsi="宋体" w:cs="宋体"/>
          <w:color w:val="auto"/>
          <w:sz w:val="21"/>
          <w:szCs w:val="21"/>
          <w:highlight w:val="none"/>
        </w:rPr>
        <w:t> </w:t>
      </w:r>
    </w:p>
    <w:p>
      <w:pPr>
        <w:pStyle w:val="12"/>
        <w:widowControl/>
        <w:spacing w:before="75" w:beforeAutospacing="0" w:after="75" w:afterAutospacing="0" w:line="435" w:lineRule="atLeast"/>
        <w:jc w:val="both"/>
        <w:rPr>
          <w:rFonts w:ascii="宋体" w:hAnsi="宋体" w:cs="宋体"/>
          <w:color w:val="auto"/>
          <w:sz w:val="21"/>
          <w:szCs w:val="21"/>
          <w:highlight w:val="none"/>
        </w:rPr>
      </w:pPr>
      <w:r>
        <w:rPr>
          <w:rFonts w:hint="eastAsia" w:ascii="宋体" w:hAnsi="宋体" w:cs="宋体"/>
          <w:color w:val="auto"/>
          <w:sz w:val="21"/>
          <w:szCs w:val="21"/>
          <w:highlight w:val="none"/>
        </w:rPr>
        <w:t>供应商代表：</w:t>
      </w:r>
      <w:r>
        <w:rPr>
          <w:rFonts w:hint="eastAsia" w:ascii="宋体" w:hAnsi="宋体" w:cs="宋体"/>
          <w:color w:val="auto"/>
          <w:sz w:val="21"/>
          <w:szCs w:val="21"/>
          <w:highlight w:val="none"/>
          <w:u w:val="single"/>
        </w:rPr>
        <w:t>             （签字） </w:t>
      </w:r>
    </w:p>
    <w:p>
      <w:pPr>
        <w:pStyle w:val="12"/>
        <w:widowControl/>
        <w:spacing w:before="75" w:beforeAutospacing="0" w:after="75" w:afterAutospacing="0" w:line="435" w:lineRule="atLeast"/>
        <w:jc w:val="both"/>
        <w:rPr>
          <w:rFonts w:ascii="宋体" w:hAnsi="宋体" w:cs="宋体"/>
          <w:color w:val="auto"/>
          <w:sz w:val="21"/>
          <w:szCs w:val="21"/>
          <w:highlight w:val="none"/>
        </w:rPr>
      </w:pPr>
      <w:r>
        <w:rPr>
          <w:rFonts w:hint="eastAsia" w:ascii="宋体" w:hAnsi="宋体" w:cs="宋体"/>
          <w:color w:val="auto"/>
          <w:sz w:val="21"/>
          <w:szCs w:val="21"/>
          <w:highlight w:val="none"/>
        </w:rPr>
        <w:t>供应商名称：</w:t>
      </w:r>
      <w:r>
        <w:rPr>
          <w:rFonts w:hint="eastAsia" w:ascii="宋体" w:hAnsi="宋体" w:cs="宋体"/>
          <w:color w:val="auto"/>
          <w:sz w:val="21"/>
          <w:szCs w:val="21"/>
          <w:highlight w:val="none"/>
          <w:u w:val="single"/>
        </w:rPr>
        <w:t>         （全称并加盖公章）              </w:t>
      </w:r>
    </w:p>
    <w:p>
      <w:pPr>
        <w:pStyle w:val="12"/>
        <w:widowControl/>
        <w:spacing w:before="75" w:beforeAutospacing="0" w:after="75" w:afterAutospacing="0" w:line="435" w:lineRule="atLeast"/>
        <w:rPr>
          <w:rFonts w:ascii="宋体" w:hAnsi="宋体" w:cs="宋体"/>
          <w:color w:val="auto"/>
          <w:sz w:val="21"/>
          <w:szCs w:val="21"/>
          <w:highlight w:val="none"/>
        </w:rPr>
      </w:pPr>
      <w:r>
        <w:rPr>
          <w:rFonts w:hint="eastAsia" w:ascii="宋体" w:hAnsi="宋体" w:cs="宋体"/>
          <w:color w:val="auto"/>
          <w:sz w:val="21"/>
          <w:szCs w:val="21"/>
          <w:highlight w:val="none"/>
        </w:rPr>
        <w:t>日  期： </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年 </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月 </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日</w:t>
      </w:r>
    </w:p>
    <w:p>
      <w:pPr>
        <w:pStyle w:val="12"/>
        <w:widowControl/>
        <w:spacing w:before="75" w:beforeAutospacing="0" w:after="75" w:afterAutospacing="0" w:line="435" w:lineRule="atLeast"/>
        <w:rPr>
          <w:rFonts w:ascii="宋体" w:hAnsi="宋体" w:cs="宋体"/>
          <w:color w:val="auto"/>
          <w:sz w:val="21"/>
          <w:szCs w:val="21"/>
          <w:highlight w:val="none"/>
        </w:rPr>
      </w:pPr>
      <w:r>
        <w:rPr>
          <w:rFonts w:hint="eastAsia" w:ascii="宋体" w:hAnsi="宋体" w:cs="宋体"/>
          <w:color w:val="auto"/>
          <w:sz w:val="21"/>
          <w:szCs w:val="21"/>
          <w:highlight w:val="none"/>
        </w:rPr>
        <w:t> </w:t>
      </w:r>
    </w:p>
    <w:p>
      <w:pPr>
        <w:pStyle w:val="12"/>
        <w:widowControl/>
        <w:spacing w:before="75" w:beforeAutospacing="0" w:after="75" w:afterAutospacing="0" w:line="435" w:lineRule="atLeast"/>
        <w:rPr>
          <w:rFonts w:ascii="宋体" w:hAnsi="宋体" w:cs="宋体"/>
          <w:color w:val="auto"/>
          <w:sz w:val="21"/>
          <w:szCs w:val="21"/>
          <w:highlight w:val="none"/>
        </w:rPr>
      </w:pPr>
      <w:r>
        <w:rPr>
          <w:rFonts w:hint="eastAsia" w:ascii="宋体" w:hAnsi="宋体" w:cs="宋体"/>
          <w:color w:val="auto"/>
          <w:sz w:val="21"/>
          <w:szCs w:val="21"/>
          <w:highlight w:val="none"/>
        </w:rPr>
        <w:t> </w:t>
      </w:r>
    </w:p>
    <w:p>
      <w:pPr>
        <w:pStyle w:val="12"/>
        <w:widowControl/>
        <w:spacing w:before="75" w:beforeAutospacing="0" w:after="75" w:afterAutospacing="0" w:line="435" w:lineRule="atLeast"/>
        <w:jc w:val="center"/>
        <w:rPr>
          <w:rFonts w:ascii="宋体" w:hAnsi="宋体" w:cs="宋体"/>
          <w:color w:val="auto"/>
          <w:sz w:val="21"/>
          <w:szCs w:val="21"/>
          <w:highlight w:val="none"/>
        </w:rPr>
      </w:pPr>
      <w:r>
        <w:rPr>
          <w:rStyle w:val="18"/>
          <w:rFonts w:hint="eastAsia" w:ascii="宋体" w:hAnsi="宋体" w:cs="宋体"/>
          <w:color w:val="auto"/>
          <w:sz w:val="21"/>
          <w:szCs w:val="21"/>
          <w:highlight w:val="none"/>
        </w:rPr>
        <w:br w:type="page"/>
      </w:r>
      <w:r>
        <w:rPr>
          <w:rFonts w:hint="eastAsia" w:ascii="宋体" w:hAnsi="宋体" w:cs="宋体"/>
          <w:b/>
          <w:bCs/>
          <w:color w:val="auto"/>
          <w:sz w:val="21"/>
          <w:szCs w:val="21"/>
          <w:highlight w:val="none"/>
        </w:rPr>
        <w:t>附件3-11   </w:t>
      </w:r>
      <w:r>
        <w:rPr>
          <w:rStyle w:val="18"/>
          <w:rFonts w:hint="eastAsia" w:ascii="宋体" w:hAnsi="宋体" w:cs="宋体"/>
          <w:bCs/>
          <w:color w:val="auto"/>
          <w:sz w:val="21"/>
          <w:szCs w:val="21"/>
          <w:highlight w:val="none"/>
        </w:rPr>
        <w:t>检察机关行贿犯罪档案查询结果告知函（如果需</w:t>
      </w:r>
      <w:r>
        <w:rPr>
          <w:rStyle w:val="18"/>
          <w:rFonts w:hint="eastAsia" w:ascii="宋体" w:hAnsi="宋体" w:cs="宋体"/>
          <w:color w:val="auto"/>
          <w:sz w:val="21"/>
          <w:szCs w:val="21"/>
          <w:highlight w:val="none"/>
        </w:rPr>
        <w:t>要）</w:t>
      </w:r>
    </w:p>
    <w:p>
      <w:pPr>
        <w:pStyle w:val="12"/>
        <w:widowControl/>
        <w:spacing w:before="75" w:beforeAutospacing="0" w:after="75" w:afterAutospacing="0" w:line="435" w:lineRule="atLeast"/>
        <w:rPr>
          <w:rFonts w:ascii="宋体" w:hAnsi="宋体" w:cs="宋体"/>
          <w:color w:val="auto"/>
          <w:sz w:val="21"/>
          <w:szCs w:val="21"/>
          <w:highlight w:val="none"/>
        </w:rPr>
      </w:pPr>
      <w:r>
        <w:rPr>
          <w:rFonts w:hint="eastAsia" w:ascii="宋体" w:hAnsi="宋体" w:cs="宋体"/>
          <w:color w:val="auto"/>
          <w:sz w:val="21"/>
          <w:szCs w:val="21"/>
          <w:highlight w:val="none"/>
        </w:rPr>
        <w:t> </w:t>
      </w:r>
    </w:p>
    <w:p>
      <w:pPr>
        <w:pStyle w:val="12"/>
        <w:widowControl/>
        <w:spacing w:before="75" w:beforeAutospacing="0" w:after="75" w:afterAutospacing="0" w:line="435" w:lineRule="atLeast"/>
        <w:ind w:firstLine="480"/>
        <w:rPr>
          <w:rFonts w:ascii="宋体" w:hAnsi="宋体" w:cs="宋体"/>
          <w:color w:val="auto"/>
          <w:sz w:val="21"/>
          <w:szCs w:val="21"/>
          <w:highlight w:val="none"/>
        </w:rPr>
      </w:pPr>
      <w:r>
        <w:rPr>
          <w:rFonts w:hint="eastAsia" w:ascii="宋体" w:hAnsi="宋体" w:cs="宋体"/>
          <w:color w:val="auto"/>
          <w:sz w:val="21"/>
          <w:szCs w:val="21"/>
          <w:highlight w:val="none"/>
        </w:rPr>
        <w:t>1.检察机关行贿犯罪档案查询结果告知函（以下简称：“告知函”）由报价人向住所地或业务发生地检察院申请查询，具体以检察院出具的为准。</w:t>
      </w:r>
    </w:p>
    <w:p>
      <w:pPr>
        <w:pStyle w:val="12"/>
        <w:widowControl/>
        <w:spacing w:before="75" w:beforeAutospacing="0" w:after="75" w:afterAutospacing="0" w:line="435" w:lineRule="atLeast"/>
        <w:rPr>
          <w:rFonts w:ascii="宋体" w:hAnsi="宋体" w:cs="宋体"/>
          <w:color w:val="auto"/>
          <w:sz w:val="21"/>
          <w:szCs w:val="21"/>
          <w:highlight w:val="none"/>
        </w:rPr>
      </w:pPr>
      <w:r>
        <w:rPr>
          <w:rFonts w:hint="eastAsia" w:ascii="宋体" w:hAnsi="宋体" w:cs="宋体"/>
          <w:color w:val="auto"/>
          <w:sz w:val="21"/>
          <w:szCs w:val="21"/>
          <w:highlight w:val="none"/>
        </w:rPr>
        <w:t>  2.采购人在磋商文件中约定是否需要提供“告知函”。</w:t>
      </w:r>
    </w:p>
    <w:p>
      <w:pPr>
        <w:pStyle w:val="12"/>
        <w:widowControl/>
        <w:spacing w:before="75" w:beforeAutospacing="0" w:after="75" w:afterAutospacing="0" w:line="435" w:lineRule="atLeast"/>
        <w:rPr>
          <w:rFonts w:ascii="宋体" w:hAnsi="宋体" w:cs="宋体"/>
          <w:color w:val="auto"/>
          <w:sz w:val="21"/>
          <w:szCs w:val="21"/>
          <w:highlight w:val="none"/>
        </w:rPr>
      </w:pPr>
      <w:r>
        <w:rPr>
          <w:rFonts w:hint="eastAsia" w:ascii="宋体" w:hAnsi="宋体" w:cs="宋体"/>
          <w:color w:val="auto"/>
          <w:sz w:val="21"/>
          <w:szCs w:val="21"/>
          <w:highlight w:val="none"/>
        </w:rPr>
        <w:t> </w:t>
      </w:r>
    </w:p>
    <w:p>
      <w:pPr>
        <w:pStyle w:val="12"/>
        <w:widowControl/>
        <w:spacing w:before="75" w:beforeAutospacing="0" w:after="75" w:afterAutospacing="0" w:line="435" w:lineRule="atLeast"/>
        <w:rPr>
          <w:rFonts w:ascii="宋体" w:hAnsi="宋体" w:cs="宋体"/>
          <w:color w:val="auto"/>
          <w:sz w:val="21"/>
          <w:szCs w:val="21"/>
          <w:highlight w:val="none"/>
        </w:rPr>
      </w:pPr>
      <w:r>
        <w:rPr>
          <w:rFonts w:hint="eastAsia" w:ascii="宋体" w:hAnsi="宋体" w:cs="宋体"/>
          <w:color w:val="auto"/>
          <w:sz w:val="21"/>
          <w:szCs w:val="21"/>
          <w:highlight w:val="none"/>
        </w:rPr>
        <w:t>※磋商文件有要求提交“告知函”时注意：</w:t>
      </w:r>
    </w:p>
    <w:p>
      <w:pPr>
        <w:pStyle w:val="12"/>
        <w:widowControl/>
        <w:spacing w:before="75" w:beforeAutospacing="0" w:after="75" w:afterAutospacing="0" w:line="435" w:lineRule="atLeast"/>
        <w:rPr>
          <w:rFonts w:ascii="宋体" w:hAnsi="宋体" w:cs="宋体"/>
          <w:color w:val="auto"/>
          <w:sz w:val="21"/>
          <w:szCs w:val="21"/>
          <w:highlight w:val="none"/>
        </w:rPr>
      </w:pPr>
      <w:r>
        <w:rPr>
          <w:rFonts w:hint="eastAsia" w:ascii="宋体" w:hAnsi="宋体" w:cs="宋体"/>
          <w:color w:val="auto"/>
          <w:sz w:val="21"/>
          <w:szCs w:val="21"/>
          <w:highlight w:val="none"/>
        </w:rPr>
        <w:t>1、报价人未提供行贿犯罪档案查询结果或查询结果有行贿犯罪记录的，</w:t>
      </w:r>
      <w:r>
        <w:rPr>
          <w:rStyle w:val="18"/>
          <w:rFonts w:hint="eastAsia" w:ascii="宋体" w:hAnsi="宋体" w:cs="宋体"/>
          <w:color w:val="auto"/>
          <w:sz w:val="21"/>
          <w:szCs w:val="21"/>
          <w:highlight w:val="none"/>
        </w:rPr>
        <w:t>则报价人的响应文件将被否决</w:t>
      </w:r>
      <w:r>
        <w:rPr>
          <w:rFonts w:hint="eastAsia" w:ascii="宋体" w:hAnsi="宋体" w:cs="宋体"/>
          <w:color w:val="auto"/>
          <w:sz w:val="21"/>
          <w:szCs w:val="21"/>
          <w:highlight w:val="none"/>
        </w:rPr>
        <w:t>。</w:t>
      </w:r>
    </w:p>
    <w:p>
      <w:pPr>
        <w:pStyle w:val="12"/>
        <w:widowControl/>
        <w:spacing w:before="75" w:beforeAutospacing="0" w:after="75" w:afterAutospacing="0" w:line="435" w:lineRule="atLeast"/>
        <w:rPr>
          <w:rFonts w:ascii="宋体" w:hAnsi="宋体" w:cs="宋体"/>
          <w:color w:val="auto"/>
          <w:sz w:val="21"/>
          <w:szCs w:val="21"/>
          <w:highlight w:val="none"/>
        </w:rPr>
      </w:pPr>
      <w:r>
        <w:rPr>
          <w:rFonts w:hint="eastAsia" w:ascii="宋体" w:hAnsi="宋体" w:cs="宋体"/>
          <w:color w:val="auto"/>
          <w:sz w:val="21"/>
          <w:szCs w:val="21"/>
          <w:highlight w:val="none"/>
        </w:rPr>
        <w:t>2、告知函应在有效期内，</w:t>
      </w:r>
      <w:r>
        <w:rPr>
          <w:rStyle w:val="18"/>
          <w:rFonts w:hint="eastAsia" w:ascii="宋体" w:hAnsi="宋体" w:cs="宋体"/>
          <w:color w:val="auto"/>
          <w:sz w:val="21"/>
          <w:szCs w:val="21"/>
          <w:highlight w:val="none"/>
        </w:rPr>
        <w:t>否则其响应文件将被否决</w:t>
      </w:r>
      <w:r>
        <w:rPr>
          <w:rFonts w:hint="eastAsia" w:ascii="宋体" w:hAnsi="宋体" w:cs="宋体"/>
          <w:color w:val="auto"/>
          <w:sz w:val="21"/>
          <w:szCs w:val="21"/>
          <w:highlight w:val="none"/>
        </w:rPr>
        <w:t>。有效期内的告知函复印件，无论内容中是否注明“复印件无效”，均视同有效。</w:t>
      </w:r>
    </w:p>
    <w:p>
      <w:pPr>
        <w:pStyle w:val="12"/>
        <w:widowControl/>
        <w:spacing w:before="75" w:beforeAutospacing="0" w:after="75" w:afterAutospacing="0" w:line="435" w:lineRule="atLeast"/>
        <w:rPr>
          <w:rFonts w:ascii="宋体" w:hAnsi="宋体" w:cs="宋体"/>
          <w:color w:val="auto"/>
          <w:sz w:val="21"/>
          <w:szCs w:val="21"/>
          <w:highlight w:val="none"/>
        </w:rPr>
      </w:pPr>
      <w:r>
        <w:rPr>
          <w:rFonts w:hint="eastAsia" w:ascii="宋体" w:hAnsi="宋体" w:cs="宋体"/>
          <w:color w:val="auto"/>
          <w:sz w:val="21"/>
          <w:szCs w:val="21"/>
          <w:highlight w:val="none"/>
        </w:rPr>
        <w:t>3、若从检察机关指定网站下载打印或截图告知函，则告知函应为从前述指定网站获取的查询结果原始页面的打印件或完整截图，</w:t>
      </w:r>
      <w:r>
        <w:rPr>
          <w:rStyle w:val="18"/>
          <w:rFonts w:hint="eastAsia" w:ascii="宋体" w:hAnsi="宋体" w:cs="宋体"/>
          <w:color w:val="auto"/>
          <w:sz w:val="21"/>
          <w:szCs w:val="21"/>
          <w:highlight w:val="none"/>
        </w:rPr>
        <w:t>否则其响应文件将被否决</w:t>
      </w:r>
      <w:r>
        <w:rPr>
          <w:rFonts w:hint="eastAsia" w:ascii="宋体" w:hAnsi="宋体" w:cs="宋体"/>
          <w:color w:val="auto"/>
          <w:sz w:val="21"/>
          <w:szCs w:val="21"/>
          <w:highlight w:val="none"/>
        </w:rPr>
        <w:t>。</w:t>
      </w:r>
    </w:p>
    <w:p>
      <w:pPr>
        <w:pStyle w:val="12"/>
        <w:widowControl/>
        <w:spacing w:before="75" w:beforeAutospacing="0" w:after="75" w:afterAutospacing="0" w:line="435" w:lineRule="atLeast"/>
        <w:rPr>
          <w:rFonts w:ascii="宋体" w:hAnsi="宋体" w:cs="宋体"/>
          <w:color w:val="auto"/>
          <w:sz w:val="21"/>
          <w:szCs w:val="21"/>
          <w:highlight w:val="none"/>
        </w:rPr>
      </w:pPr>
      <w:r>
        <w:rPr>
          <w:rFonts w:hint="eastAsia" w:ascii="宋体" w:hAnsi="宋体" w:cs="宋体"/>
          <w:color w:val="auto"/>
          <w:sz w:val="21"/>
          <w:szCs w:val="21"/>
          <w:highlight w:val="none"/>
        </w:rPr>
        <w:t>4、若告知函未注明“复印件无效”，报价人可提供原件或复印件。</w:t>
      </w:r>
    </w:p>
    <w:p>
      <w:pPr>
        <w:pStyle w:val="12"/>
        <w:widowControl/>
        <w:spacing w:before="75" w:beforeAutospacing="0" w:after="75" w:afterAutospacing="0" w:line="435" w:lineRule="atLeast"/>
        <w:rPr>
          <w:rFonts w:ascii="宋体" w:hAnsi="宋体" w:cs="宋体"/>
          <w:color w:val="auto"/>
          <w:sz w:val="21"/>
          <w:szCs w:val="21"/>
          <w:highlight w:val="none"/>
        </w:rPr>
      </w:pPr>
      <w:r>
        <w:rPr>
          <w:rFonts w:hint="eastAsia" w:ascii="宋体" w:hAnsi="宋体" w:cs="宋体"/>
          <w:color w:val="auto"/>
          <w:sz w:val="21"/>
          <w:szCs w:val="21"/>
          <w:highlight w:val="none"/>
        </w:rPr>
        <w:t>5、对于接受联合体形式的磋商且报价人是联合体的，则联合体各成员都应当提交本资格证明文件。</w:t>
      </w:r>
    </w:p>
    <w:p>
      <w:pPr>
        <w:pStyle w:val="12"/>
        <w:widowControl/>
        <w:rPr>
          <w:rFonts w:ascii="宋体" w:hAnsi="宋体" w:cs="宋体"/>
          <w:color w:val="auto"/>
          <w:sz w:val="21"/>
          <w:szCs w:val="21"/>
          <w:highlight w:val="none"/>
        </w:rPr>
      </w:pPr>
      <w:r>
        <w:rPr>
          <w:rFonts w:hint="eastAsia" w:ascii="宋体" w:hAnsi="宋体" w:cs="宋体"/>
          <w:color w:val="auto"/>
          <w:sz w:val="21"/>
          <w:szCs w:val="21"/>
          <w:highlight w:val="none"/>
        </w:rPr>
        <w:t>6、无法获取有效期内检察机关行贿犯罪档案查询结果告知函的，应在《参加采购活动前三年内在经营活动中没有重大违法记录书面声明》中对近三年无行贿犯罪记录进行声明。</w:t>
      </w:r>
    </w:p>
    <w:p>
      <w:pPr>
        <w:pStyle w:val="12"/>
        <w:widowControl/>
        <w:spacing w:before="75" w:beforeAutospacing="0" w:after="75" w:afterAutospacing="0" w:line="435" w:lineRule="atLeast"/>
        <w:rPr>
          <w:rFonts w:ascii="宋体" w:hAnsi="宋体" w:cs="宋体"/>
          <w:color w:val="auto"/>
          <w:sz w:val="21"/>
          <w:szCs w:val="21"/>
          <w:highlight w:val="none"/>
        </w:rPr>
      </w:pPr>
      <w:r>
        <w:rPr>
          <w:rFonts w:hint="eastAsia" w:ascii="宋体" w:hAnsi="宋体" w:cs="宋体"/>
          <w:color w:val="auto"/>
          <w:sz w:val="21"/>
          <w:szCs w:val="21"/>
          <w:highlight w:val="none"/>
        </w:rPr>
        <w:t> </w:t>
      </w:r>
    </w:p>
    <w:p>
      <w:pPr>
        <w:pStyle w:val="12"/>
        <w:widowControl/>
        <w:spacing w:before="75" w:beforeAutospacing="0" w:after="75" w:afterAutospacing="0" w:line="435" w:lineRule="atLeast"/>
        <w:rPr>
          <w:rFonts w:ascii="宋体" w:hAnsi="宋体" w:cs="宋体"/>
          <w:color w:val="auto"/>
          <w:sz w:val="21"/>
          <w:szCs w:val="21"/>
          <w:highlight w:val="none"/>
        </w:rPr>
      </w:pPr>
      <w:r>
        <w:rPr>
          <w:rFonts w:hint="eastAsia" w:ascii="宋体" w:hAnsi="宋体" w:cs="宋体"/>
          <w:color w:val="auto"/>
          <w:sz w:val="21"/>
          <w:szCs w:val="21"/>
          <w:highlight w:val="none"/>
        </w:rPr>
        <w:t> </w:t>
      </w:r>
    </w:p>
    <w:p>
      <w:pPr>
        <w:pStyle w:val="12"/>
        <w:widowControl/>
        <w:spacing w:before="75" w:beforeAutospacing="0" w:after="75" w:afterAutospacing="0" w:line="420" w:lineRule="atLeast"/>
        <w:rPr>
          <w:rFonts w:ascii="宋体" w:hAnsi="宋体" w:cs="宋体"/>
          <w:color w:val="auto"/>
          <w:sz w:val="21"/>
          <w:szCs w:val="21"/>
          <w:highlight w:val="none"/>
        </w:rPr>
      </w:pPr>
      <w:r>
        <w:rPr>
          <w:rFonts w:hint="eastAsia" w:ascii="宋体" w:hAnsi="宋体" w:cs="宋体"/>
          <w:color w:val="auto"/>
          <w:sz w:val="21"/>
          <w:szCs w:val="21"/>
          <w:highlight w:val="none"/>
        </w:rPr>
        <w:t> </w:t>
      </w:r>
    </w:p>
    <w:p>
      <w:pPr>
        <w:pStyle w:val="12"/>
        <w:widowControl/>
        <w:spacing w:before="75" w:beforeAutospacing="0" w:after="75" w:afterAutospacing="0" w:line="420" w:lineRule="atLeast"/>
        <w:rPr>
          <w:rFonts w:ascii="宋体" w:hAnsi="宋体" w:cs="宋体"/>
          <w:color w:val="auto"/>
          <w:sz w:val="21"/>
          <w:szCs w:val="21"/>
          <w:highlight w:val="none"/>
        </w:rPr>
      </w:pPr>
      <w:r>
        <w:rPr>
          <w:rFonts w:hint="eastAsia" w:ascii="宋体" w:hAnsi="宋体" w:cs="宋体"/>
          <w:color w:val="auto"/>
          <w:sz w:val="21"/>
          <w:szCs w:val="21"/>
          <w:highlight w:val="none"/>
        </w:rPr>
        <w:t> </w:t>
      </w:r>
    </w:p>
    <w:p>
      <w:pPr>
        <w:pStyle w:val="12"/>
        <w:widowControl/>
        <w:spacing w:before="75" w:beforeAutospacing="0" w:after="75" w:afterAutospacing="0" w:line="420" w:lineRule="atLeast"/>
        <w:rPr>
          <w:rFonts w:ascii="宋体" w:hAnsi="宋体" w:cs="宋体"/>
          <w:color w:val="auto"/>
          <w:sz w:val="21"/>
          <w:szCs w:val="21"/>
          <w:highlight w:val="none"/>
        </w:rPr>
      </w:pPr>
      <w:r>
        <w:rPr>
          <w:rFonts w:hint="eastAsia" w:ascii="宋体" w:hAnsi="宋体" w:cs="宋体"/>
          <w:color w:val="auto"/>
          <w:sz w:val="21"/>
          <w:szCs w:val="21"/>
          <w:highlight w:val="none"/>
        </w:rPr>
        <w:t> </w:t>
      </w:r>
    </w:p>
    <w:p>
      <w:pPr>
        <w:pStyle w:val="12"/>
        <w:widowControl/>
        <w:spacing w:before="75" w:beforeAutospacing="0" w:after="75" w:afterAutospacing="0" w:line="420" w:lineRule="atLeast"/>
        <w:rPr>
          <w:rFonts w:ascii="宋体" w:hAnsi="宋体" w:cs="宋体"/>
          <w:color w:val="auto"/>
          <w:sz w:val="21"/>
          <w:szCs w:val="21"/>
          <w:highlight w:val="none"/>
        </w:rPr>
      </w:pPr>
      <w:r>
        <w:rPr>
          <w:rFonts w:hint="eastAsia" w:ascii="宋体" w:hAnsi="宋体" w:cs="宋体"/>
          <w:color w:val="auto"/>
          <w:sz w:val="21"/>
          <w:szCs w:val="21"/>
          <w:highlight w:val="none"/>
        </w:rPr>
        <w:t> </w:t>
      </w:r>
    </w:p>
    <w:p>
      <w:pPr>
        <w:pStyle w:val="12"/>
        <w:widowControl/>
        <w:spacing w:before="75" w:beforeAutospacing="0" w:after="75" w:afterAutospacing="0" w:line="420" w:lineRule="atLeast"/>
        <w:rPr>
          <w:rFonts w:ascii="宋体" w:hAnsi="宋体" w:cs="宋体"/>
          <w:color w:val="auto"/>
          <w:sz w:val="21"/>
          <w:szCs w:val="21"/>
          <w:highlight w:val="none"/>
        </w:rPr>
      </w:pPr>
      <w:r>
        <w:rPr>
          <w:rFonts w:hint="eastAsia" w:ascii="宋体" w:hAnsi="宋体" w:cs="宋体"/>
          <w:color w:val="auto"/>
          <w:sz w:val="21"/>
          <w:szCs w:val="21"/>
          <w:highlight w:val="none"/>
        </w:rPr>
        <w:t> </w:t>
      </w:r>
    </w:p>
    <w:p>
      <w:pPr>
        <w:pStyle w:val="12"/>
        <w:widowControl/>
        <w:spacing w:before="75" w:beforeAutospacing="0" w:after="75" w:afterAutospacing="0" w:line="420" w:lineRule="atLeast"/>
        <w:rPr>
          <w:rFonts w:ascii="宋体" w:hAnsi="宋体" w:cs="宋体"/>
          <w:color w:val="auto"/>
          <w:sz w:val="21"/>
          <w:szCs w:val="21"/>
          <w:highlight w:val="none"/>
        </w:rPr>
      </w:pPr>
      <w:r>
        <w:rPr>
          <w:rFonts w:hint="eastAsia" w:ascii="宋体" w:hAnsi="宋体" w:cs="宋体"/>
          <w:color w:val="auto"/>
          <w:sz w:val="21"/>
          <w:szCs w:val="21"/>
          <w:highlight w:val="none"/>
        </w:rPr>
        <w:t> </w:t>
      </w:r>
    </w:p>
    <w:p>
      <w:pPr>
        <w:pStyle w:val="12"/>
        <w:widowControl/>
        <w:spacing w:before="75" w:beforeAutospacing="0" w:after="75" w:afterAutospacing="0" w:line="420" w:lineRule="atLeast"/>
        <w:rPr>
          <w:rFonts w:ascii="宋体" w:hAnsi="宋体" w:cs="宋体"/>
          <w:color w:val="auto"/>
          <w:sz w:val="21"/>
          <w:szCs w:val="21"/>
          <w:highlight w:val="none"/>
        </w:rPr>
      </w:pPr>
      <w:r>
        <w:rPr>
          <w:rFonts w:hint="eastAsia" w:ascii="宋体" w:hAnsi="宋体" w:cs="宋体"/>
          <w:color w:val="auto"/>
          <w:sz w:val="21"/>
          <w:szCs w:val="21"/>
          <w:highlight w:val="none"/>
        </w:rPr>
        <w:t> </w:t>
      </w:r>
    </w:p>
    <w:p>
      <w:pPr>
        <w:pStyle w:val="12"/>
        <w:widowControl/>
        <w:spacing w:before="75" w:beforeAutospacing="0" w:after="75" w:afterAutospacing="0" w:line="435" w:lineRule="atLeast"/>
        <w:rPr>
          <w:rFonts w:ascii="宋体" w:hAnsi="宋体" w:cs="宋体"/>
          <w:color w:val="auto"/>
          <w:sz w:val="21"/>
          <w:szCs w:val="21"/>
          <w:highlight w:val="none"/>
        </w:rPr>
      </w:pPr>
    </w:p>
    <w:p>
      <w:pPr>
        <w:pStyle w:val="12"/>
        <w:widowControl/>
        <w:spacing w:before="75" w:beforeAutospacing="0" w:after="75" w:afterAutospacing="0" w:line="435" w:lineRule="atLeast"/>
        <w:rPr>
          <w:rFonts w:ascii="宋体" w:hAnsi="宋体" w:cs="宋体"/>
          <w:color w:val="auto"/>
          <w:sz w:val="21"/>
          <w:szCs w:val="21"/>
          <w:highlight w:val="none"/>
        </w:rPr>
      </w:pPr>
    </w:p>
    <w:p>
      <w:pPr>
        <w:pStyle w:val="12"/>
        <w:widowControl/>
        <w:spacing w:before="75" w:beforeAutospacing="0" w:after="75" w:afterAutospacing="0" w:line="435" w:lineRule="atLeast"/>
        <w:jc w:val="center"/>
        <w:rPr>
          <w:rFonts w:ascii="宋体" w:hAnsi="宋体" w:cs="宋体"/>
          <w:color w:val="auto"/>
          <w:sz w:val="21"/>
          <w:szCs w:val="21"/>
          <w:highlight w:val="none"/>
        </w:rPr>
      </w:pPr>
      <w:r>
        <w:rPr>
          <w:rFonts w:hint="eastAsia" w:ascii="宋体" w:hAnsi="宋体" w:cs="宋体"/>
          <w:color w:val="auto"/>
          <w:sz w:val="21"/>
          <w:szCs w:val="21"/>
          <w:highlight w:val="none"/>
        </w:rPr>
        <w:br w:type="page"/>
      </w:r>
      <w:r>
        <w:rPr>
          <w:rFonts w:hint="eastAsia" w:ascii="宋体" w:hAnsi="宋体" w:cs="宋体"/>
          <w:b/>
          <w:bCs/>
          <w:color w:val="auto"/>
          <w:sz w:val="21"/>
          <w:szCs w:val="21"/>
          <w:highlight w:val="none"/>
        </w:rPr>
        <w:t>附件3-12  </w:t>
      </w:r>
      <w:r>
        <w:rPr>
          <w:rStyle w:val="18"/>
          <w:rFonts w:hint="eastAsia" w:ascii="宋体" w:hAnsi="宋体" w:cs="宋体"/>
          <w:bCs/>
          <w:color w:val="auto"/>
          <w:sz w:val="21"/>
          <w:szCs w:val="21"/>
          <w:highlight w:val="none"/>
        </w:rPr>
        <w:t>联合体协议</w:t>
      </w:r>
    </w:p>
    <w:p>
      <w:pPr>
        <w:pStyle w:val="12"/>
        <w:widowControl/>
        <w:spacing w:before="75" w:beforeAutospacing="0" w:after="75" w:afterAutospacing="0" w:line="435" w:lineRule="atLeast"/>
        <w:jc w:val="center"/>
        <w:rPr>
          <w:rFonts w:ascii="宋体" w:hAnsi="宋体" w:cs="宋体"/>
          <w:color w:val="auto"/>
          <w:sz w:val="21"/>
          <w:szCs w:val="21"/>
          <w:highlight w:val="none"/>
        </w:rPr>
      </w:pPr>
      <w:r>
        <w:rPr>
          <w:rStyle w:val="18"/>
          <w:rFonts w:hint="eastAsia" w:ascii="宋体" w:hAnsi="宋体" w:cs="宋体"/>
          <w:color w:val="auto"/>
          <w:sz w:val="21"/>
          <w:szCs w:val="21"/>
          <w:highlight w:val="none"/>
        </w:rPr>
        <w:t>（接受联合体的项目使用）</w:t>
      </w:r>
    </w:p>
    <w:p>
      <w:pPr>
        <w:pStyle w:val="12"/>
        <w:widowControl/>
        <w:spacing w:before="75" w:beforeAutospacing="0" w:after="75" w:afterAutospacing="0" w:line="435" w:lineRule="atLeast"/>
        <w:jc w:val="both"/>
        <w:rPr>
          <w:rFonts w:ascii="宋体" w:hAnsi="宋体" w:cs="宋体"/>
          <w:color w:val="auto"/>
          <w:sz w:val="21"/>
          <w:szCs w:val="21"/>
          <w:highlight w:val="none"/>
        </w:rPr>
      </w:pPr>
      <w:r>
        <w:rPr>
          <w:rFonts w:hint="eastAsia" w:ascii="宋体" w:hAnsi="宋体" w:cs="宋体"/>
          <w:color w:val="auto"/>
          <w:sz w:val="21"/>
          <w:szCs w:val="21"/>
          <w:highlight w:val="none"/>
        </w:rPr>
        <w:t>致：</w:t>
      </w:r>
      <w:r>
        <w:rPr>
          <w:rFonts w:hint="eastAsia" w:ascii="宋体" w:hAnsi="宋体" w:cs="宋体"/>
          <w:color w:val="auto"/>
          <w:sz w:val="21"/>
          <w:szCs w:val="21"/>
          <w:highlight w:val="none"/>
          <w:u w:val="single"/>
        </w:rPr>
        <w:t>宁德市有信产权交易服务有限公司</w:t>
      </w:r>
      <w:r>
        <w:rPr>
          <w:rFonts w:hint="eastAsia" w:ascii="宋体" w:hAnsi="宋体" w:cs="宋体"/>
          <w:color w:val="auto"/>
          <w:sz w:val="21"/>
          <w:szCs w:val="21"/>
          <w:highlight w:val="none"/>
        </w:rPr>
        <w:t> </w:t>
      </w:r>
    </w:p>
    <w:p>
      <w:pPr>
        <w:pStyle w:val="12"/>
        <w:widowControl/>
        <w:spacing w:before="75" w:beforeAutospacing="0" w:after="75" w:afterAutospacing="0" w:line="435" w:lineRule="atLeast"/>
        <w:jc w:val="both"/>
        <w:rPr>
          <w:rFonts w:ascii="宋体" w:hAnsi="宋体" w:cs="宋体"/>
          <w:color w:val="auto"/>
          <w:sz w:val="21"/>
          <w:szCs w:val="21"/>
          <w:highlight w:val="none"/>
        </w:rPr>
      </w:pPr>
      <w:r>
        <w:rPr>
          <w:rFonts w:hint="eastAsia" w:ascii="宋体" w:hAnsi="宋体" w:cs="宋体"/>
          <w:color w:val="auto"/>
          <w:sz w:val="21"/>
          <w:szCs w:val="21"/>
          <w:highlight w:val="none"/>
        </w:rPr>
        <w:t>    兹有（</w:t>
      </w:r>
      <w:r>
        <w:rPr>
          <w:rFonts w:hint="eastAsia" w:ascii="宋体" w:hAnsi="宋体" w:cs="宋体"/>
          <w:color w:val="auto"/>
          <w:sz w:val="21"/>
          <w:szCs w:val="21"/>
          <w:highlight w:val="none"/>
          <w:u w:val="single"/>
        </w:rPr>
        <w:t>填写“联合体中各方的全称”，各方的全称之间请用“、”分割</w:t>
      </w:r>
      <w:r>
        <w:rPr>
          <w:rFonts w:hint="eastAsia" w:ascii="宋体" w:hAnsi="宋体" w:cs="宋体"/>
          <w:color w:val="auto"/>
          <w:sz w:val="21"/>
          <w:szCs w:val="21"/>
          <w:highlight w:val="none"/>
        </w:rPr>
        <w:t>）自愿组成联合体，共同参加（填写</w:t>
      </w:r>
      <w:r>
        <w:rPr>
          <w:rFonts w:hint="eastAsia" w:ascii="宋体" w:hAnsi="宋体" w:cs="宋体"/>
          <w:color w:val="auto"/>
          <w:sz w:val="21"/>
          <w:szCs w:val="21"/>
          <w:highlight w:val="none"/>
          <w:u w:val="single"/>
        </w:rPr>
        <w:t>         “项目名称” </w:t>
      </w:r>
      <w:r>
        <w:rPr>
          <w:rFonts w:hint="eastAsia" w:ascii="宋体" w:hAnsi="宋体" w:cs="宋体"/>
          <w:color w:val="auto"/>
          <w:sz w:val="21"/>
          <w:szCs w:val="21"/>
          <w:highlight w:val="none"/>
        </w:rPr>
        <w:t>） 项目（项目编号：</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）的响应磋商。现就联合体参加本项目响应磋商的有关事宜达成下列协议：</w:t>
      </w:r>
    </w:p>
    <w:p>
      <w:pPr>
        <w:widowControl/>
        <w:spacing w:line="435" w:lineRule="atLeast"/>
        <w:ind w:firstLine="480"/>
        <w:jc w:val="left"/>
        <w:rPr>
          <w:rFonts w:ascii="宋体" w:hAnsi="宋体" w:cs="宋体"/>
          <w:color w:val="auto"/>
          <w:szCs w:val="21"/>
          <w:highlight w:val="none"/>
        </w:rPr>
      </w:pPr>
      <w:r>
        <w:rPr>
          <w:rFonts w:hint="eastAsia" w:ascii="宋体" w:hAnsi="宋体" w:cs="宋体"/>
          <w:color w:val="auto"/>
          <w:szCs w:val="21"/>
          <w:highlight w:val="none"/>
        </w:rPr>
        <w:t>一、联合体各方应承担的工作和义务具体如下：</w:t>
      </w:r>
    </w:p>
    <w:p>
      <w:pPr>
        <w:widowControl/>
        <w:spacing w:line="435" w:lineRule="atLeast"/>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 xml:space="preserve">1、联合体牵头方单位名称： </w:t>
      </w:r>
    </w:p>
    <w:p>
      <w:pPr>
        <w:widowControl/>
        <w:spacing w:line="435" w:lineRule="atLeast"/>
        <w:ind w:firstLine="480"/>
        <w:jc w:val="left"/>
        <w:rPr>
          <w:rFonts w:ascii="宋体" w:hAnsi="宋体" w:cs="宋体"/>
          <w:color w:val="auto"/>
          <w:kern w:val="0"/>
          <w:szCs w:val="21"/>
          <w:highlight w:val="none"/>
        </w:rPr>
      </w:pPr>
      <w:r>
        <w:rPr>
          <w:rFonts w:hint="eastAsia" w:ascii="宋体" w:hAnsi="宋体" w:cs="宋体"/>
          <w:color w:val="auto"/>
          <w:kern w:val="0"/>
          <w:szCs w:val="21"/>
          <w:highlight w:val="none"/>
        </w:rPr>
        <w:t>（填写“工作及义务的具体内容”） ；</w:t>
      </w:r>
    </w:p>
    <w:p>
      <w:pPr>
        <w:widowControl/>
        <w:spacing w:line="435" w:lineRule="atLeast"/>
        <w:ind w:right="480"/>
        <w:rPr>
          <w:rFonts w:ascii="宋体" w:hAnsi="宋体" w:cs="宋体"/>
          <w:color w:val="auto"/>
          <w:kern w:val="0"/>
          <w:szCs w:val="21"/>
          <w:highlight w:val="none"/>
        </w:rPr>
      </w:pPr>
      <w:r>
        <w:rPr>
          <w:rFonts w:hint="eastAsia" w:ascii="宋体" w:hAnsi="宋体" w:cs="宋体"/>
          <w:color w:val="auto"/>
          <w:kern w:val="0"/>
          <w:szCs w:val="21"/>
          <w:highlight w:val="none"/>
        </w:rPr>
        <w:t>2、联合体成员方单位名称：</w:t>
      </w:r>
    </w:p>
    <w:p>
      <w:pPr>
        <w:widowControl/>
        <w:spacing w:line="435" w:lineRule="atLeast"/>
        <w:jc w:val="left"/>
        <w:rPr>
          <w:rFonts w:ascii="宋体" w:hAnsi="宋体" w:cs="宋体"/>
          <w:color w:val="auto"/>
          <w:kern w:val="0"/>
          <w:szCs w:val="21"/>
          <w:highlight w:val="none"/>
        </w:rPr>
      </w:pPr>
      <w:r>
        <w:rPr>
          <w:rFonts w:hint="eastAsia" w:ascii="宋体" w:hAnsi="宋体" w:cs="宋体"/>
          <w:color w:val="auto"/>
          <w:kern w:val="0"/>
          <w:szCs w:val="21"/>
          <w:highlight w:val="none"/>
        </w:rPr>
        <w:t>2.1（成员一的全称）：（填写“工作及义务的具体内容”）；</w:t>
      </w:r>
    </w:p>
    <w:p>
      <w:pPr>
        <w:widowControl/>
        <w:spacing w:line="435" w:lineRule="atLeast"/>
        <w:jc w:val="left"/>
        <w:rPr>
          <w:rFonts w:ascii="宋体" w:hAnsi="宋体" w:cs="宋体"/>
          <w:color w:val="auto"/>
          <w:szCs w:val="21"/>
          <w:highlight w:val="none"/>
        </w:rPr>
      </w:pPr>
      <w:r>
        <w:rPr>
          <w:rFonts w:hint="eastAsia" w:ascii="宋体" w:hAnsi="宋体" w:cs="宋体"/>
          <w:color w:val="auto"/>
          <w:szCs w:val="21"/>
          <w:highlight w:val="none"/>
        </w:rPr>
        <w:t> ……</w:t>
      </w:r>
    </w:p>
    <w:p>
      <w:pPr>
        <w:pStyle w:val="12"/>
        <w:widowControl/>
        <w:spacing w:before="75" w:beforeAutospacing="0" w:after="75" w:afterAutospacing="0" w:line="435" w:lineRule="atLeast"/>
        <w:jc w:val="both"/>
        <w:rPr>
          <w:rFonts w:ascii="宋体" w:hAnsi="宋体" w:cs="宋体"/>
          <w:color w:val="auto"/>
          <w:sz w:val="21"/>
          <w:szCs w:val="21"/>
          <w:highlight w:val="none"/>
        </w:rPr>
      </w:pPr>
      <w:r>
        <w:rPr>
          <w:rFonts w:hint="eastAsia" w:ascii="宋体" w:hAnsi="宋体" w:cs="宋体"/>
          <w:color w:val="auto"/>
          <w:sz w:val="21"/>
          <w:szCs w:val="21"/>
          <w:highlight w:val="none"/>
        </w:rPr>
        <w:t>二、联合体各方约定由（</w:t>
      </w:r>
      <w:r>
        <w:rPr>
          <w:rFonts w:hint="eastAsia" w:ascii="宋体" w:hAnsi="宋体" w:cs="宋体"/>
          <w:color w:val="auto"/>
          <w:sz w:val="21"/>
          <w:szCs w:val="21"/>
          <w:highlight w:val="none"/>
          <w:u w:val="single"/>
        </w:rPr>
        <w:t>填写“牵头方的全称”</w:t>
      </w:r>
      <w:r>
        <w:rPr>
          <w:rFonts w:hint="eastAsia" w:ascii="宋体" w:hAnsi="宋体" w:cs="宋体"/>
          <w:color w:val="auto"/>
          <w:sz w:val="21"/>
          <w:szCs w:val="21"/>
          <w:highlight w:val="none"/>
        </w:rPr>
        <w:t>）代表联合体办理参加本项目响应磋商的有关事宜（包括但不限于：派出供应商代表、提交响应文件及参加磋商、澄清等工作），在此过程中，供应商代表签署的一切文件和处理结果，联合体各方均予以认可并对此承担责任。</w:t>
      </w:r>
    </w:p>
    <w:p>
      <w:pPr>
        <w:pStyle w:val="12"/>
        <w:widowControl/>
        <w:spacing w:before="75" w:beforeAutospacing="0" w:after="75" w:afterAutospacing="0" w:line="435" w:lineRule="atLeast"/>
        <w:jc w:val="both"/>
        <w:rPr>
          <w:rFonts w:ascii="宋体" w:hAnsi="宋体" w:cs="宋体"/>
          <w:color w:val="auto"/>
          <w:sz w:val="21"/>
          <w:szCs w:val="21"/>
          <w:highlight w:val="none"/>
        </w:rPr>
      </w:pPr>
      <w:r>
        <w:rPr>
          <w:rFonts w:hint="eastAsia" w:ascii="宋体" w:hAnsi="宋体" w:cs="宋体"/>
          <w:color w:val="auto"/>
          <w:sz w:val="21"/>
          <w:szCs w:val="21"/>
          <w:highlight w:val="none"/>
        </w:rPr>
        <w:t>三、联合体各方约定由（填写</w:t>
      </w:r>
      <w:r>
        <w:rPr>
          <w:rFonts w:hint="eastAsia" w:ascii="宋体" w:hAnsi="宋体" w:cs="宋体"/>
          <w:color w:val="auto"/>
          <w:sz w:val="21"/>
          <w:szCs w:val="21"/>
          <w:highlight w:val="none"/>
          <w:u w:val="single"/>
        </w:rPr>
        <w:t>填写“牵头方的全称”</w:t>
      </w:r>
      <w:r>
        <w:rPr>
          <w:rFonts w:hint="eastAsia" w:ascii="宋体" w:hAnsi="宋体" w:cs="宋体"/>
          <w:color w:val="auto"/>
          <w:sz w:val="21"/>
          <w:szCs w:val="21"/>
          <w:highlight w:val="none"/>
        </w:rPr>
        <w:t>）代表联合体办理磋商保证金事宜。</w:t>
      </w:r>
    </w:p>
    <w:p>
      <w:pPr>
        <w:pStyle w:val="12"/>
        <w:widowControl/>
        <w:spacing w:before="75" w:beforeAutospacing="0" w:after="75" w:afterAutospacing="0" w:line="435" w:lineRule="atLeast"/>
        <w:jc w:val="both"/>
        <w:rPr>
          <w:rFonts w:ascii="宋体" w:hAnsi="宋体" w:cs="宋体"/>
          <w:color w:val="auto"/>
          <w:sz w:val="21"/>
          <w:szCs w:val="21"/>
          <w:highlight w:val="none"/>
        </w:rPr>
      </w:pPr>
      <w:r>
        <w:rPr>
          <w:rFonts w:hint="eastAsia" w:ascii="宋体" w:hAnsi="宋体" w:cs="宋体"/>
          <w:color w:val="auto"/>
          <w:sz w:val="21"/>
          <w:szCs w:val="21"/>
          <w:highlight w:val="none"/>
        </w:rPr>
        <w:t>四、若成交，牵头方将代表联合体与采购人就合同签订事宜进行协商；若协商一致，则联合体各方将共同与采购人签订采购合同，并就采购合同约定的事项对采购人承担连带责任。</w:t>
      </w:r>
    </w:p>
    <w:p>
      <w:pPr>
        <w:pStyle w:val="12"/>
        <w:widowControl/>
        <w:spacing w:before="75" w:beforeAutospacing="0" w:after="75" w:afterAutospacing="0" w:line="435" w:lineRule="atLeast"/>
        <w:jc w:val="both"/>
        <w:rPr>
          <w:rFonts w:ascii="宋体" w:hAnsi="宋体" w:cs="宋体"/>
          <w:color w:val="auto"/>
          <w:sz w:val="21"/>
          <w:szCs w:val="21"/>
          <w:highlight w:val="none"/>
        </w:rPr>
      </w:pPr>
      <w:r>
        <w:rPr>
          <w:rFonts w:hint="eastAsia" w:ascii="宋体" w:hAnsi="宋体" w:cs="宋体"/>
          <w:color w:val="auto"/>
          <w:sz w:val="21"/>
          <w:szCs w:val="21"/>
          <w:highlight w:val="none"/>
        </w:rPr>
        <w:t>五、本协议自签署之日起生效，采购合同履行完毕后自动失效。</w:t>
      </w:r>
    </w:p>
    <w:p>
      <w:pPr>
        <w:pStyle w:val="12"/>
        <w:widowControl/>
        <w:spacing w:before="75" w:beforeAutospacing="0" w:after="75" w:afterAutospacing="0" w:line="435" w:lineRule="atLeast"/>
        <w:jc w:val="both"/>
        <w:rPr>
          <w:rFonts w:ascii="宋体" w:hAnsi="宋体" w:cs="宋体"/>
          <w:color w:val="auto"/>
          <w:sz w:val="21"/>
          <w:szCs w:val="21"/>
          <w:highlight w:val="none"/>
        </w:rPr>
      </w:pPr>
      <w:r>
        <w:rPr>
          <w:rFonts w:hint="eastAsia" w:ascii="宋体" w:hAnsi="宋体" w:cs="宋体"/>
          <w:color w:val="auto"/>
          <w:sz w:val="21"/>
          <w:szCs w:val="21"/>
          <w:highlight w:val="none"/>
        </w:rPr>
        <w:t>六、本协议一式（填写具体份数）份，联合体各方各执一份，响应文件中提交一份。</w:t>
      </w:r>
    </w:p>
    <w:p>
      <w:pPr>
        <w:pStyle w:val="12"/>
        <w:widowControl/>
        <w:spacing w:before="75" w:beforeAutospacing="0" w:after="75" w:afterAutospacing="0" w:line="435" w:lineRule="atLeast"/>
        <w:jc w:val="both"/>
        <w:rPr>
          <w:rFonts w:ascii="宋体" w:hAnsi="宋体" w:cs="宋体"/>
          <w:color w:val="auto"/>
          <w:sz w:val="21"/>
          <w:szCs w:val="21"/>
          <w:highlight w:val="none"/>
        </w:rPr>
      </w:pPr>
      <w:r>
        <w:rPr>
          <w:rFonts w:hint="eastAsia" w:ascii="宋体" w:hAnsi="宋体" w:cs="宋体"/>
          <w:color w:val="auto"/>
          <w:sz w:val="21"/>
          <w:szCs w:val="21"/>
          <w:highlight w:val="none"/>
        </w:rPr>
        <w:t>（以下无正文）</w:t>
      </w:r>
    </w:p>
    <w:p>
      <w:pPr>
        <w:pStyle w:val="12"/>
        <w:widowControl/>
        <w:spacing w:before="75" w:beforeAutospacing="0" w:after="75" w:afterAutospacing="0" w:line="435" w:lineRule="atLeast"/>
        <w:jc w:val="both"/>
        <w:rPr>
          <w:rFonts w:ascii="宋体" w:hAnsi="宋体" w:cs="宋体"/>
          <w:color w:val="auto"/>
          <w:sz w:val="21"/>
          <w:szCs w:val="21"/>
          <w:highlight w:val="none"/>
        </w:rPr>
      </w:pPr>
      <w:r>
        <w:rPr>
          <w:rFonts w:hint="eastAsia" w:ascii="宋体" w:hAnsi="宋体" w:cs="宋体"/>
          <w:color w:val="auto"/>
          <w:sz w:val="21"/>
          <w:szCs w:val="21"/>
          <w:highlight w:val="none"/>
        </w:rPr>
        <w:t>牵头方：</w:t>
      </w:r>
      <w:r>
        <w:rPr>
          <w:rFonts w:hint="eastAsia" w:ascii="宋体" w:hAnsi="宋体" w:cs="宋体"/>
          <w:color w:val="auto"/>
          <w:sz w:val="21"/>
          <w:szCs w:val="21"/>
          <w:highlight w:val="none"/>
          <w:u w:val="single"/>
        </w:rPr>
        <w:t>（全称并加盖单位公章）</w:t>
      </w:r>
    </w:p>
    <w:p>
      <w:pPr>
        <w:pStyle w:val="12"/>
        <w:widowControl/>
        <w:spacing w:before="75" w:beforeAutospacing="0" w:after="75" w:afterAutospacing="0" w:line="435" w:lineRule="atLeast"/>
        <w:jc w:val="both"/>
        <w:rPr>
          <w:rFonts w:ascii="宋体" w:hAnsi="宋体" w:cs="宋体"/>
          <w:color w:val="auto"/>
          <w:sz w:val="21"/>
          <w:szCs w:val="21"/>
          <w:highlight w:val="none"/>
        </w:rPr>
      </w:pPr>
      <w:r>
        <w:rPr>
          <w:rFonts w:hint="eastAsia" w:ascii="宋体" w:hAnsi="宋体" w:cs="宋体"/>
          <w:color w:val="auto"/>
          <w:sz w:val="21"/>
          <w:szCs w:val="21"/>
          <w:highlight w:val="none"/>
        </w:rPr>
        <w:t>供应商代表：</w:t>
      </w:r>
      <w:r>
        <w:rPr>
          <w:rFonts w:hint="eastAsia" w:ascii="宋体" w:hAnsi="宋体" w:cs="宋体"/>
          <w:color w:val="auto"/>
          <w:sz w:val="21"/>
          <w:szCs w:val="21"/>
          <w:highlight w:val="none"/>
          <w:u w:val="single"/>
        </w:rPr>
        <w:t>  （签字或盖章）  </w:t>
      </w:r>
    </w:p>
    <w:p>
      <w:pPr>
        <w:pStyle w:val="12"/>
        <w:widowControl/>
        <w:spacing w:before="75" w:beforeAutospacing="0" w:after="75" w:afterAutospacing="0" w:line="435" w:lineRule="atLeast"/>
        <w:jc w:val="both"/>
        <w:rPr>
          <w:rFonts w:ascii="宋体" w:hAnsi="宋体" w:cs="宋体"/>
          <w:color w:val="auto"/>
          <w:sz w:val="21"/>
          <w:szCs w:val="21"/>
          <w:highlight w:val="none"/>
        </w:rPr>
      </w:pPr>
      <w:r>
        <w:rPr>
          <w:rFonts w:hint="eastAsia" w:ascii="宋体" w:hAnsi="宋体" w:cs="宋体"/>
          <w:color w:val="auto"/>
          <w:sz w:val="21"/>
          <w:szCs w:val="21"/>
          <w:highlight w:val="none"/>
        </w:rPr>
        <w:t>成员一：</w:t>
      </w:r>
      <w:r>
        <w:rPr>
          <w:rFonts w:hint="eastAsia" w:ascii="宋体" w:hAnsi="宋体" w:cs="宋体"/>
          <w:color w:val="auto"/>
          <w:sz w:val="21"/>
          <w:szCs w:val="21"/>
          <w:highlight w:val="none"/>
          <w:u w:val="single"/>
        </w:rPr>
        <w:t>（全称并加盖成员一的单位公章）</w:t>
      </w:r>
    </w:p>
    <w:p>
      <w:pPr>
        <w:pStyle w:val="12"/>
        <w:widowControl/>
        <w:spacing w:before="75" w:beforeAutospacing="0" w:after="75" w:afterAutospacing="0" w:line="435" w:lineRule="atLeast"/>
        <w:jc w:val="both"/>
        <w:rPr>
          <w:rFonts w:ascii="宋体" w:hAnsi="宋体" w:cs="宋体"/>
          <w:color w:val="auto"/>
          <w:sz w:val="21"/>
          <w:szCs w:val="21"/>
          <w:highlight w:val="none"/>
        </w:rPr>
      </w:pPr>
      <w:r>
        <w:rPr>
          <w:rFonts w:hint="eastAsia" w:ascii="宋体" w:hAnsi="宋体" w:cs="宋体"/>
          <w:color w:val="auto"/>
          <w:sz w:val="21"/>
          <w:szCs w:val="21"/>
          <w:highlight w:val="none"/>
        </w:rPr>
        <w:t>供应商代表：</w:t>
      </w:r>
      <w:r>
        <w:rPr>
          <w:rFonts w:hint="eastAsia" w:ascii="宋体" w:hAnsi="宋体" w:cs="宋体"/>
          <w:color w:val="auto"/>
          <w:sz w:val="21"/>
          <w:szCs w:val="21"/>
          <w:highlight w:val="none"/>
          <w:u w:val="single"/>
        </w:rPr>
        <w:t>  （签字或盖章）  </w:t>
      </w:r>
    </w:p>
    <w:p>
      <w:pPr>
        <w:pStyle w:val="12"/>
        <w:widowControl/>
        <w:spacing w:before="75" w:beforeAutospacing="0" w:after="75" w:afterAutospacing="0" w:line="435" w:lineRule="atLeast"/>
        <w:jc w:val="both"/>
        <w:rPr>
          <w:rFonts w:ascii="宋体" w:hAnsi="宋体" w:cs="宋体"/>
          <w:color w:val="auto"/>
          <w:sz w:val="21"/>
          <w:szCs w:val="21"/>
          <w:highlight w:val="none"/>
        </w:rPr>
      </w:pPr>
      <w:r>
        <w:rPr>
          <w:rFonts w:hint="eastAsia" w:ascii="宋体" w:hAnsi="宋体" w:cs="宋体"/>
          <w:color w:val="auto"/>
          <w:sz w:val="21"/>
          <w:szCs w:val="21"/>
          <w:highlight w:val="none"/>
        </w:rPr>
        <w:t>……</w:t>
      </w:r>
    </w:p>
    <w:p>
      <w:pPr>
        <w:pStyle w:val="12"/>
        <w:widowControl/>
        <w:spacing w:before="75" w:beforeAutospacing="0" w:after="75" w:afterAutospacing="0" w:line="435" w:lineRule="atLeast"/>
        <w:jc w:val="both"/>
        <w:rPr>
          <w:rFonts w:ascii="宋体" w:hAnsi="宋体" w:cs="宋体"/>
          <w:color w:val="auto"/>
          <w:sz w:val="21"/>
          <w:szCs w:val="21"/>
          <w:highlight w:val="none"/>
        </w:rPr>
      </w:pPr>
      <w:r>
        <w:rPr>
          <w:rFonts w:hint="eastAsia" w:ascii="宋体" w:hAnsi="宋体" w:cs="宋体"/>
          <w:color w:val="auto"/>
          <w:sz w:val="21"/>
          <w:szCs w:val="21"/>
          <w:highlight w:val="none"/>
        </w:rPr>
        <w:t>成员**：</w:t>
      </w:r>
      <w:r>
        <w:rPr>
          <w:rFonts w:hint="eastAsia" w:ascii="宋体" w:hAnsi="宋体" w:cs="宋体"/>
          <w:color w:val="auto"/>
          <w:sz w:val="21"/>
          <w:szCs w:val="21"/>
          <w:highlight w:val="none"/>
          <w:u w:val="single"/>
        </w:rPr>
        <w:t>（全称并加盖成员**的单位公章）</w:t>
      </w:r>
    </w:p>
    <w:p>
      <w:pPr>
        <w:pStyle w:val="12"/>
        <w:widowControl/>
        <w:spacing w:before="75" w:beforeAutospacing="0" w:after="75" w:afterAutospacing="0" w:line="435" w:lineRule="atLeast"/>
        <w:jc w:val="both"/>
        <w:rPr>
          <w:rFonts w:ascii="宋体" w:hAnsi="宋体" w:cs="宋体"/>
          <w:color w:val="auto"/>
          <w:sz w:val="21"/>
          <w:szCs w:val="21"/>
          <w:highlight w:val="none"/>
        </w:rPr>
      </w:pPr>
      <w:r>
        <w:rPr>
          <w:rFonts w:hint="eastAsia" w:ascii="宋体" w:hAnsi="宋体" w:cs="宋体"/>
          <w:color w:val="auto"/>
          <w:sz w:val="21"/>
          <w:szCs w:val="21"/>
          <w:highlight w:val="none"/>
        </w:rPr>
        <w:t>供应商代表：</w:t>
      </w:r>
      <w:r>
        <w:rPr>
          <w:rFonts w:hint="eastAsia" w:ascii="宋体" w:hAnsi="宋体" w:cs="宋体"/>
          <w:color w:val="auto"/>
          <w:sz w:val="21"/>
          <w:szCs w:val="21"/>
          <w:highlight w:val="none"/>
          <w:u w:val="single"/>
        </w:rPr>
        <w:t>  （签字或盖章）  </w:t>
      </w:r>
    </w:p>
    <w:p>
      <w:pPr>
        <w:pStyle w:val="12"/>
        <w:widowControl/>
        <w:spacing w:before="75" w:beforeAutospacing="0" w:after="75" w:afterAutospacing="0" w:line="435" w:lineRule="atLeast"/>
        <w:jc w:val="both"/>
        <w:rPr>
          <w:rFonts w:ascii="宋体" w:hAnsi="宋体" w:cs="宋体"/>
          <w:color w:val="auto"/>
          <w:sz w:val="21"/>
          <w:szCs w:val="21"/>
          <w:highlight w:val="none"/>
        </w:rPr>
      </w:pPr>
      <w:r>
        <w:rPr>
          <w:rFonts w:hint="eastAsia" w:ascii="宋体" w:hAnsi="宋体" w:cs="宋体"/>
          <w:color w:val="auto"/>
          <w:sz w:val="21"/>
          <w:szCs w:val="21"/>
          <w:highlight w:val="none"/>
        </w:rPr>
        <w:t>签署日期：</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年</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月</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日</w:t>
      </w:r>
    </w:p>
    <w:p>
      <w:pPr>
        <w:pStyle w:val="12"/>
        <w:widowControl/>
        <w:spacing w:before="75" w:beforeAutospacing="0" w:after="75" w:afterAutospacing="0" w:line="435" w:lineRule="atLeast"/>
        <w:rPr>
          <w:rFonts w:ascii="宋体" w:hAnsi="宋体" w:cs="宋体"/>
          <w:color w:val="auto"/>
          <w:sz w:val="21"/>
          <w:szCs w:val="21"/>
          <w:highlight w:val="none"/>
        </w:rPr>
      </w:pPr>
      <w:r>
        <w:rPr>
          <w:rFonts w:hint="eastAsia" w:ascii="宋体" w:hAnsi="宋体" w:cs="宋体"/>
          <w:color w:val="auto"/>
          <w:sz w:val="21"/>
          <w:szCs w:val="21"/>
          <w:highlight w:val="none"/>
        </w:rPr>
        <w:t> </w:t>
      </w:r>
    </w:p>
    <w:p>
      <w:pPr>
        <w:pStyle w:val="12"/>
        <w:widowControl/>
        <w:spacing w:before="75" w:beforeAutospacing="0" w:after="75" w:afterAutospacing="0" w:line="435" w:lineRule="atLeast"/>
        <w:rPr>
          <w:rFonts w:ascii="宋体" w:hAnsi="宋体" w:cs="宋体"/>
          <w:color w:val="auto"/>
          <w:sz w:val="21"/>
          <w:szCs w:val="21"/>
          <w:highlight w:val="none"/>
        </w:rPr>
      </w:pPr>
      <w:r>
        <w:rPr>
          <w:rFonts w:hint="eastAsia" w:ascii="宋体" w:hAnsi="宋体" w:cs="宋体"/>
          <w:color w:val="auto"/>
          <w:sz w:val="21"/>
          <w:szCs w:val="21"/>
          <w:highlight w:val="none"/>
        </w:rPr>
        <w:t> </w:t>
      </w:r>
    </w:p>
    <w:p>
      <w:pPr>
        <w:pStyle w:val="12"/>
        <w:widowControl/>
        <w:spacing w:before="75" w:beforeAutospacing="0" w:after="75" w:afterAutospacing="0" w:line="435" w:lineRule="atLeast"/>
        <w:rPr>
          <w:rFonts w:ascii="宋体" w:hAnsi="宋体" w:cs="宋体"/>
          <w:color w:val="auto"/>
          <w:sz w:val="21"/>
          <w:szCs w:val="21"/>
          <w:highlight w:val="none"/>
        </w:rPr>
      </w:pPr>
      <w:r>
        <w:rPr>
          <w:rFonts w:hint="eastAsia" w:ascii="宋体" w:hAnsi="宋体" w:cs="宋体"/>
          <w:color w:val="auto"/>
          <w:sz w:val="21"/>
          <w:szCs w:val="21"/>
          <w:highlight w:val="none"/>
        </w:rPr>
        <w:t> </w:t>
      </w:r>
    </w:p>
    <w:p>
      <w:pPr>
        <w:pStyle w:val="12"/>
        <w:widowControl/>
        <w:spacing w:before="75" w:beforeAutospacing="0" w:after="75" w:afterAutospacing="0" w:line="435" w:lineRule="atLeast"/>
        <w:rPr>
          <w:rFonts w:ascii="宋体" w:hAnsi="宋体" w:cs="宋体"/>
          <w:color w:val="auto"/>
          <w:sz w:val="21"/>
          <w:szCs w:val="21"/>
          <w:highlight w:val="none"/>
        </w:rPr>
      </w:pPr>
      <w:r>
        <w:rPr>
          <w:rFonts w:hint="eastAsia" w:ascii="宋体" w:hAnsi="宋体" w:cs="宋体"/>
          <w:color w:val="auto"/>
          <w:sz w:val="21"/>
          <w:szCs w:val="21"/>
          <w:highlight w:val="none"/>
        </w:rPr>
        <w:t>※注意：</w:t>
      </w:r>
    </w:p>
    <w:p>
      <w:pPr>
        <w:pStyle w:val="12"/>
        <w:widowControl/>
        <w:spacing w:before="75" w:beforeAutospacing="0" w:after="75" w:afterAutospacing="0"/>
        <w:rPr>
          <w:rFonts w:ascii="宋体" w:hAnsi="宋体" w:cs="宋体"/>
          <w:color w:val="auto"/>
          <w:sz w:val="21"/>
          <w:szCs w:val="21"/>
          <w:highlight w:val="none"/>
        </w:rPr>
      </w:pPr>
      <w:r>
        <w:rPr>
          <w:rFonts w:hint="eastAsia" w:ascii="宋体" w:hAnsi="宋体" w:cs="宋体"/>
          <w:color w:val="auto"/>
          <w:sz w:val="21"/>
          <w:szCs w:val="21"/>
          <w:highlight w:val="none"/>
        </w:rPr>
        <w:t>1、若磋商文件规定接受联合体形式且供应商为联合体的，则供应商应提供本协议；否则无须提供。</w:t>
      </w:r>
    </w:p>
    <w:p>
      <w:pPr>
        <w:pStyle w:val="12"/>
        <w:widowControl/>
        <w:spacing w:before="75" w:beforeAutospacing="0" w:after="75" w:afterAutospacing="0"/>
        <w:rPr>
          <w:rFonts w:ascii="宋体" w:hAnsi="宋体" w:cs="宋体"/>
          <w:color w:val="auto"/>
          <w:sz w:val="21"/>
          <w:szCs w:val="21"/>
          <w:highlight w:val="none"/>
        </w:rPr>
      </w:pPr>
      <w:r>
        <w:rPr>
          <w:rFonts w:hint="eastAsia" w:ascii="宋体" w:hAnsi="宋体" w:cs="宋体"/>
          <w:color w:val="auto"/>
          <w:sz w:val="21"/>
          <w:szCs w:val="21"/>
          <w:highlight w:val="none"/>
        </w:rPr>
        <w:t>2、本协议中的供应商代表如果不是竞争性磋商须知中定义的“单位负责人”，则还必须提供“单位负责人授权书”。</w:t>
      </w:r>
    </w:p>
    <w:p>
      <w:pPr>
        <w:pStyle w:val="12"/>
        <w:widowControl/>
        <w:spacing w:before="75" w:beforeAutospacing="0" w:after="75" w:afterAutospacing="0"/>
        <w:rPr>
          <w:rFonts w:ascii="宋体" w:hAnsi="宋体" w:cs="宋体"/>
          <w:color w:val="auto"/>
          <w:sz w:val="21"/>
          <w:szCs w:val="21"/>
          <w:highlight w:val="none"/>
        </w:rPr>
      </w:pPr>
      <w:r>
        <w:rPr>
          <w:rFonts w:hint="eastAsia" w:ascii="宋体" w:hAnsi="宋体" w:cs="宋体"/>
          <w:color w:val="auto"/>
          <w:sz w:val="21"/>
          <w:szCs w:val="21"/>
          <w:highlight w:val="none"/>
        </w:rPr>
        <w:t>3、若磋商文件规定接受联合体形式且供应商为联合体的，纸质响应文件正本中的本协议应为原件。</w:t>
      </w:r>
    </w:p>
    <w:p>
      <w:pPr>
        <w:pStyle w:val="12"/>
        <w:widowControl/>
        <w:spacing w:before="75" w:beforeAutospacing="0" w:after="75" w:afterAutospacing="0" w:line="435" w:lineRule="atLeast"/>
        <w:rPr>
          <w:rFonts w:ascii="宋体" w:hAnsi="宋体" w:cs="宋体"/>
          <w:color w:val="auto"/>
          <w:sz w:val="21"/>
          <w:szCs w:val="21"/>
          <w:highlight w:val="none"/>
        </w:rPr>
      </w:pPr>
      <w:r>
        <w:rPr>
          <w:rFonts w:hint="eastAsia" w:ascii="宋体" w:hAnsi="宋体" w:cs="宋体"/>
          <w:color w:val="auto"/>
          <w:sz w:val="21"/>
          <w:szCs w:val="21"/>
          <w:highlight w:val="none"/>
        </w:rPr>
        <w:t> </w:t>
      </w:r>
    </w:p>
    <w:p>
      <w:pPr>
        <w:pStyle w:val="12"/>
        <w:widowControl/>
        <w:spacing w:before="75" w:beforeAutospacing="0" w:after="75" w:afterAutospacing="0" w:line="435" w:lineRule="atLeast"/>
        <w:rPr>
          <w:rFonts w:ascii="宋体" w:hAnsi="宋体" w:cs="宋体"/>
          <w:color w:val="auto"/>
          <w:sz w:val="21"/>
          <w:szCs w:val="21"/>
          <w:highlight w:val="none"/>
        </w:rPr>
      </w:pPr>
      <w:r>
        <w:rPr>
          <w:rFonts w:hint="eastAsia" w:ascii="宋体" w:hAnsi="宋体" w:cs="宋体"/>
          <w:color w:val="auto"/>
          <w:sz w:val="21"/>
          <w:szCs w:val="21"/>
          <w:highlight w:val="none"/>
        </w:rPr>
        <w:t> </w:t>
      </w:r>
    </w:p>
    <w:p>
      <w:pPr>
        <w:pStyle w:val="12"/>
        <w:widowControl/>
        <w:spacing w:before="75" w:beforeAutospacing="0" w:after="75" w:afterAutospacing="0" w:line="420" w:lineRule="atLeast"/>
        <w:rPr>
          <w:rFonts w:ascii="宋体" w:hAnsi="宋体" w:cs="宋体"/>
          <w:color w:val="auto"/>
          <w:sz w:val="21"/>
          <w:szCs w:val="21"/>
          <w:highlight w:val="none"/>
        </w:rPr>
      </w:pPr>
      <w:r>
        <w:rPr>
          <w:rFonts w:hint="eastAsia" w:ascii="宋体" w:hAnsi="宋体" w:cs="宋体"/>
          <w:color w:val="auto"/>
          <w:sz w:val="21"/>
          <w:szCs w:val="21"/>
          <w:highlight w:val="none"/>
        </w:rPr>
        <w:t> </w:t>
      </w:r>
    </w:p>
    <w:p>
      <w:pPr>
        <w:pStyle w:val="12"/>
        <w:widowControl/>
        <w:spacing w:before="75" w:beforeAutospacing="0" w:after="75" w:afterAutospacing="0" w:line="420" w:lineRule="atLeast"/>
        <w:rPr>
          <w:rFonts w:ascii="宋体" w:hAnsi="宋体" w:cs="宋体"/>
          <w:color w:val="auto"/>
          <w:sz w:val="21"/>
          <w:szCs w:val="21"/>
          <w:highlight w:val="none"/>
        </w:rPr>
      </w:pPr>
      <w:r>
        <w:rPr>
          <w:rFonts w:hint="eastAsia" w:ascii="宋体" w:hAnsi="宋体" w:cs="宋体"/>
          <w:color w:val="auto"/>
          <w:sz w:val="21"/>
          <w:szCs w:val="21"/>
          <w:highlight w:val="none"/>
        </w:rPr>
        <w:t> </w:t>
      </w:r>
    </w:p>
    <w:p>
      <w:pPr>
        <w:pStyle w:val="12"/>
        <w:widowControl/>
        <w:spacing w:before="75" w:beforeAutospacing="0" w:after="75" w:afterAutospacing="0"/>
        <w:rPr>
          <w:rFonts w:ascii="宋体" w:hAnsi="宋体" w:cs="宋体"/>
          <w:color w:val="auto"/>
          <w:sz w:val="21"/>
          <w:szCs w:val="21"/>
          <w:highlight w:val="none"/>
        </w:rPr>
      </w:pPr>
      <w:r>
        <w:rPr>
          <w:rFonts w:hint="eastAsia" w:ascii="宋体" w:hAnsi="宋体" w:cs="宋体"/>
          <w:color w:val="auto"/>
          <w:sz w:val="21"/>
          <w:szCs w:val="21"/>
          <w:highlight w:val="none"/>
        </w:rPr>
        <w:t> </w:t>
      </w:r>
    </w:p>
    <w:p>
      <w:pPr>
        <w:pStyle w:val="12"/>
        <w:widowControl/>
        <w:spacing w:before="75" w:beforeAutospacing="0" w:after="75" w:afterAutospacing="0"/>
        <w:rPr>
          <w:rFonts w:ascii="宋体" w:hAnsi="宋体" w:cs="宋体"/>
          <w:color w:val="auto"/>
          <w:sz w:val="21"/>
          <w:szCs w:val="21"/>
          <w:highlight w:val="none"/>
        </w:rPr>
      </w:pPr>
    </w:p>
    <w:p>
      <w:pPr>
        <w:pStyle w:val="12"/>
        <w:widowControl/>
        <w:spacing w:before="75" w:beforeAutospacing="0" w:after="75" w:afterAutospacing="0"/>
        <w:rPr>
          <w:rFonts w:ascii="宋体" w:hAnsi="宋体" w:cs="宋体"/>
          <w:color w:val="auto"/>
          <w:sz w:val="21"/>
          <w:szCs w:val="21"/>
          <w:highlight w:val="none"/>
        </w:rPr>
      </w:pPr>
    </w:p>
    <w:p>
      <w:pPr>
        <w:pStyle w:val="12"/>
        <w:widowControl/>
        <w:spacing w:before="75" w:beforeAutospacing="0" w:after="75" w:afterAutospacing="0"/>
        <w:jc w:val="center"/>
        <w:rPr>
          <w:rStyle w:val="18"/>
          <w:rFonts w:ascii="宋体" w:hAnsi="宋体" w:cs="宋体"/>
          <w:bCs/>
          <w:color w:val="auto"/>
          <w:sz w:val="21"/>
          <w:szCs w:val="21"/>
          <w:highlight w:val="none"/>
        </w:rPr>
      </w:pPr>
      <w:r>
        <w:rPr>
          <w:rFonts w:hint="eastAsia" w:ascii="宋体" w:hAnsi="宋体" w:cs="宋体"/>
          <w:color w:val="auto"/>
          <w:sz w:val="21"/>
          <w:szCs w:val="21"/>
          <w:highlight w:val="none"/>
        </w:rPr>
        <w:br w:type="page"/>
      </w:r>
      <w:r>
        <w:rPr>
          <w:rFonts w:hint="eastAsia" w:ascii="宋体" w:hAnsi="宋体" w:cs="宋体"/>
          <w:b/>
          <w:bCs/>
          <w:color w:val="auto"/>
          <w:sz w:val="21"/>
          <w:szCs w:val="21"/>
          <w:highlight w:val="none"/>
        </w:rPr>
        <w:t>附件3-13   </w:t>
      </w:r>
      <w:r>
        <w:rPr>
          <w:rStyle w:val="18"/>
          <w:rFonts w:hint="eastAsia" w:ascii="宋体" w:hAnsi="宋体" w:cs="宋体"/>
          <w:bCs/>
          <w:color w:val="auto"/>
          <w:sz w:val="21"/>
          <w:szCs w:val="21"/>
          <w:highlight w:val="none"/>
        </w:rPr>
        <w:t>其它资格证明文件</w:t>
      </w:r>
    </w:p>
    <w:p>
      <w:pPr>
        <w:pStyle w:val="12"/>
        <w:widowControl/>
        <w:spacing w:before="75" w:beforeAutospacing="0" w:after="75" w:afterAutospacing="0"/>
        <w:jc w:val="center"/>
        <w:rPr>
          <w:rStyle w:val="18"/>
          <w:rFonts w:ascii="宋体" w:hAnsi="宋体" w:cs="宋体"/>
          <w:bCs/>
          <w:color w:val="auto"/>
          <w:sz w:val="21"/>
          <w:szCs w:val="21"/>
          <w:highlight w:val="none"/>
        </w:rPr>
      </w:pPr>
    </w:p>
    <w:p>
      <w:pPr>
        <w:pStyle w:val="12"/>
        <w:widowControl/>
        <w:spacing w:before="75" w:beforeAutospacing="0" w:after="75" w:afterAutospacing="0"/>
        <w:jc w:val="center"/>
        <w:rPr>
          <w:rFonts w:ascii="宋体" w:hAnsi="宋体" w:cs="宋体"/>
          <w:color w:val="auto"/>
          <w:sz w:val="21"/>
          <w:szCs w:val="21"/>
          <w:highlight w:val="none"/>
        </w:rPr>
      </w:pPr>
      <w:r>
        <w:rPr>
          <w:rStyle w:val="18"/>
          <w:rFonts w:hint="eastAsia" w:ascii="宋体" w:hAnsi="宋体" w:cs="宋体"/>
          <w:color w:val="auto"/>
          <w:sz w:val="21"/>
          <w:szCs w:val="21"/>
          <w:highlight w:val="none"/>
        </w:rPr>
        <w:t>  （如果有的话）</w:t>
      </w:r>
    </w:p>
    <w:p>
      <w:pPr>
        <w:pStyle w:val="12"/>
        <w:widowControl/>
        <w:spacing w:before="75" w:beforeAutospacing="0" w:after="75" w:afterAutospacing="0" w:line="435" w:lineRule="atLeast"/>
        <w:rPr>
          <w:rFonts w:ascii="宋体" w:hAnsi="宋体" w:cs="宋体"/>
          <w:color w:val="auto"/>
          <w:sz w:val="21"/>
          <w:szCs w:val="21"/>
          <w:highlight w:val="none"/>
        </w:rPr>
      </w:pPr>
      <w:r>
        <w:rPr>
          <w:rFonts w:hint="eastAsia" w:ascii="宋体" w:hAnsi="宋体" w:cs="宋体"/>
          <w:color w:val="auto"/>
          <w:sz w:val="21"/>
          <w:szCs w:val="21"/>
          <w:highlight w:val="none"/>
        </w:rPr>
        <w:t> </w:t>
      </w:r>
    </w:p>
    <w:p>
      <w:pPr>
        <w:pStyle w:val="12"/>
        <w:widowControl/>
        <w:spacing w:before="75" w:beforeAutospacing="0" w:after="75" w:afterAutospacing="0" w:line="435" w:lineRule="atLeast"/>
        <w:ind w:firstLine="480"/>
        <w:rPr>
          <w:rFonts w:ascii="宋体" w:hAnsi="宋体" w:cs="宋体"/>
          <w:color w:val="auto"/>
          <w:sz w:val="21"/>
          <w:szCs w:val="21"/>
          <w:highlight w:val="none"/>
        </w:rPr>
      </w:pPr>
      <w:r>
        <w:rPr>
          <w:rFonts w:hint="eastAsia" w:ascii="宋体" w:hAnsi="宋体" w:cs="宋体"/>
          <w:color w:val="auto"/>
          <w:sz w:val="21"/>
          <w:szCs w:val="21"/>
          <w:highlight w:val="none"/>
        </w:rPr>
        <w:t>说明：1、采购人或采购代理机构可以根据项目的特点和需要，在磋商文件“供应商的资格”中特定资格条件，对其它资格证明文件进行具体规定，供应商应按照磋商文件要求，在此项下提供相关证明材料，并加盖供应商单位公章。</w:t>
      </w:r>
    </w:p>
    <w:p>
      <w:pPr>
        <w:pStyle w:val="12"/>
        <w:widowControl/>
        <w:spacing w:before="75" w:beforeAutospacing="0" w:after="75" w:afterAutospacing="0" w:line="435" w:lineRule="atLeast"/>
        <w:ind w:firstLine="480"/>
        <w:rPr>
          <w:rFonts w:ascii="宋体" w:hAnsi="宋体" w:cs="宋体"/>
          <w:color w:val="auto"/>
          <w:sz w:val="21"/>
          <w:szCs w:val="21"/>
          <w:highlight w:val="none"/>
        </w:rPr>
      </w:pPr>
      <w:r>
        <w:rPr>
          <w:rFonts w:hint="eastAsia" w:ascii="宋体" w:hAnsi="宋体" w:cs="宋体"/>
          <w:color w:val="auto"/>
          <w:sz w:val="21"/>
          <w:szCs w:val="21"/>
          <w:highlight w:val="none"/>
        </w:rPr>
        <w:t>2、若磋商文件规定接受联合体形式且供应商为联合体的，涉及联合体成员的其它资格证明文件在此处提供相关证明材料，并加盖供应商单位公章。</w:t>
      </w:r>
    </w:p>
    <w:p>
      <w:pPr>
        <w:pStyle w:val="12"/>
        <w:widowControl/>
        <w:spacing w:before="75" w:beforeAutospacing="0" w:after="75" w:afterAutospacing="0" w:line="435" w:lineRule="atLeast"/>
        <w:ind w:firstLine="480"/>
        <w:rPr>
          <w:rFonts w:ascii="宋体" w:hAnsi="宋体" w:cs="宋体"/>
          <w:color w:val="auto"/>
          <w:sz w:val="21"/>
          <w:szCs w:val="21"/>
          <w:highlight w:val="none"/>
        </w:rPr>
      </w:pPr>
      <w:r>
        <w:rPr>
          <w:rFonts w:hint="eastAsia" w:ascii="宋体" w:hAnsi="宋体" w:cs="宋体"/>
          <w:color w:val="auto"/>
          <w:sz w:val="21"/>
          <w:szCs w:val="21"/>
          <w:highlight w:val="none"/>
        </w:rPr>
        <w:t> </w:t>
      </w:r>
    </w:p>
    <w:p>
      <w:pPr>
        <w:pStyle w:val="12"/>
        <w:widowControl/>
        <w:spacing w:before="75" w:beforeAutospacing="0" w:after="75" w:afterAutospacing="0" w:line="435" w:lineRule="atLeast"/>
        <w:ind w:firstLine="480"/>
        <w:rPr>
          <w:rFonts w:ascii="宋体" w:hAnsi="宋体" w:cs="宋体"/>
          <w:color w:val="auto"/>
          <w:sz w:val="21"/>
          <w:szCs w:val="21"/>
          <w:highlight w:val="none"/>
        </w:rPr>
      </w:pPr>
    </w:p>
    <w:p>
      <w:pPr>
        <w:pStyle w:val="12"/>
        <w:widowControl/>
        <w:spacing w:before="75" w:beforeAutospacing="0" w:after="75" w:afterAutospacing="0" w:line="435" w:lineRule="atLeast"/>
        <w:ind w:firstLine="480"/>
        <w:rPr>
          <w:rFonts w:ascii="宋体" w:hAnsi="宋体" w:cs="宋体"/>
          <w:color w:val="auto"/>
          <w:sz w:val="21"/>
          <w:szCs w:val="21"/>
          <w:highlight w:val="none"/>
        </w:rPr>
      </w:pPr>
      <w:r>
        <w:rPr>
          <w:rFonts w:hint="eastAsia" w:ascii="宋体" w:hAnsi="宋体" w:cs="宋体"/>
          <w:color w:val="auto"/>
          <w:sz w:val="21"/>
          <w:szCs w:val="21"/>
          <w:highlight w:val="none"/>
        </w:rPr>
        <w:t>                        </w:t>
      </w:r>
    </w:p>
    <w:p>
      <w:pPr>
        <w:pStyle w:val="12"/>
        <w:widowControl/>
        <w:spacing w:before="75" w:beforeAutospacing="0" w:after="75" w:afterAutospacing="0" w:line="435" w:lineRule="atLeast"/>
        <w:jc w:val="both"/>
        <w:rPr>
          <w:rFonts w:ascii="宋体" w:hAnsi="宋体" w:cs="宋体"/>
          <w:color w:val="auto"/>
          <w:sz w:val="21"/>
          <w:szCs w:val="21"/>
          <w:highlight w:val="none"/>
        </w:rPr>
      </w:pPr>
      <w:r>
        <w:rPr>
          <w:rFonts w:hint="eastAsia" w:ascii="宋体" w:hAnsi="宋体" w:cs="宋体"/>
          <w:color w:val="auto"/>
          <w:sz w:val="21"/>
          <w:szCs w:val="21"/>
          <w:highlight w:val="none"/>
        </w:rPr>
        <w:t>供应商代表：</w:t>
      </w:r>
      <w:r>
        <w:rPr>
          <w:rFonts w:hint="eastAsia" w:ascii="宋体" w:hAnsi="宋体" w:cs="宋体"/>
          <w:color w:val="auto"/>
          <w:sz w:val="21"/>
          <w:szCs w:val="21"/>
          <w:highlight w:val="none"/>
          <w:u w:val="single"/>
        </w:rPr>
        <w:t>             （签字） </w:t>
      </w:r>
    </w:p>
    <w:p>
      <w:pPr>
        <w:pStyle w:val="12"/>
        <w:widowControl/>
        <w:spacing w:before="75" w:beforeAutospacing="0" w:after="75" w:afterAutospacing="0" w:line="435" w:lineRule="atLeast"/>
        <w:jc w:val="both"/>
        <w:rPr>
          <w:rFonts w:ascii="宋体" w:hAnsi="宋体" w:cs="宋体"/>
          <w:color w:val="auto"/>
          <w:sz w:val="21"/>
          <w:szCs w:val="21"/>
          <w:highlight w:val="none"/>
        </w:rPr>
      </w:pPr>
      <w:r>
        <w:rPr>
          <w:rFonts w:hint="eastAsia" w:ascii="宋体" w:hAnsi="宋体" w:cs="宋体"/>
          <w:color w:val="auto"/>
          <w:sz w:val="21"/>
          <w:szCs w:val="21"/>
          <w:highlight w:val="none"/>
        </w:rPr>
        <w:t>供应商名称：</w:t>
      </w:r>
      <w:r>
        <w:rPr>
          <w:rFonts w:hint="eastAsia" w:ascii="宋体" w:hAnsi="宋体" w:cs="宋体"/>
          <w:color w:val="auto"/>
          <w:sz w:val="21"/>
          <w:szCs w:val="21"/>
          <w:highlight w:val="none"/>
          <w:u w:val="single"/>
        </w:rPr>
        <w:t>         （全称并加盖公章）              </w:t>
      </w:r>
    </w:p>
    <w:p>
      <w:pPr>
        <w:pStyle w:val="12"/>
        <w:widowControl/>
        <w:spacing w:before="75" w:beforeAutospacing="0" w:after="75" w:afterAutospacing="0" w:line="435" w:lineRule="atLeast"/>
        <w:rPr>
          <w:rFonts w:ascii="宋体" w:hAnsi="宋体" w:cs="宋体"/>
          <w:color w:val="auto"/>
          <w:sz w:val="21"/>
          <w:szCs w:val="21"/>
          <w:highlight w:val="none"/>
        </w:rPr>
      </w:pPr>
      <w:r>
        <w:rPr>
          <w:rFonts w:hint="eastAsia" w:ascii="宋体" w:hAnsi="宋体" w:cs="宋体"/>
          <w:color w:val="auto"/>
          <w:sz w:val="21"/>
          <w:szCs w:val="21"/>
          <w:highlight w:val="none"/>
        </w:rPr>
        <w:t>日  期： </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年 </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月 </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日</w:t>
      </w:r>
      <w:r>
        <w:rPr>
          <w:rStyle w:val="18"/>
          <w:rFonts w:hint="eastAsia" w:ascii="宋体" w:hAnsi="宋体" w:cs="宋体"/>
          <w:color w:val="auto"/>
          <w:sz w:val="21"/>
          <w:szCs w:val="21"/>
          <w:highlight w:val="none"/>
        </w:rPr>
        <w:t> </w:t>
      </w:r>
    </w:p>
    <w:p>
      <w:pPr>
        <w:pStyle w:val="12"/>
        <w:widowControl/>
        <w:spacing w:before="75" w:beforeAutospacing="0" w:after="75" w:afterAutospacing="0"/>
        <w:rPr>
          <w:rFonts w:ascii="宋体" w:hAnsi="宋体" w:cs="宋体"/>
          <w:color w:val="auto"/>
          <w:sz w:val="21"/>
          <w:szCs w:val="21"/>
          <w:highlight w:val="none"/>
        </w:rPr>
      </w:pPr>
      <w:r>
        <w:rPr>
          <w:rFonts w:hint="eastAsia" w:ascii="宋体" w:hAnsi="宋体" w:cs="宋体"/>
          <w:color w:val="auto"/>
          <w:sz w:val="21"/>
          <w:szCs w:val="21"/>
          <w:highlight w:val="none"/>
        </w:rPr>
        <w:t> </w:t>
      </w:r>
    </w:p>
    <w:p>
      <w:pPr>
        <w:pStyle w:val="12"/>
        <w:widowControl/>
        <w:spacing w:before="75" w:beforeAutospacing="0" w:after="75" w:afterAutospacing="0"/>
        <w:rPr>
          <w:rFonts w:ascii="宋体" w:hAnsi="宋体" w:cs="宋体"/>
          <w:color w:val="auto"/>
          <w:sz w:val="21"/>
          <w:szCs w:val="21"/>
          <w:highlight w:val="none"/>
        </w:rPr>
      </w:pPr>
    </w:p>
    <w:p>
      <w:pPr>
        <w:pStyle w:val="12"/>
        <w:widowControl/>
        <w:spacing w:before="75" w:beforeAutospacing="0" w:after="75" w:afterAutospacing="0"/>
        <w:rPr>
          <w:rFonts w:ascii="宋体" w:hAnsi="宋体" w:cs="宋体"/>
          <w:color w:val="auto"/>
          <w:sz w:val="21"/>
          <w:szCs w:val="21"/>
          <w:highlight w:val="none"/>
        </w:rPr>
      </w:pPr>
    </w:p>
    <w:p>
      <w:pPr>
        <w:pStyle w:val="12"/>
        <w:widowControl/>
        <w:spacing w:before="75" w:beforeAutospacing="0" w:after="75" w:afterAutospacing="0"/>
        <w:jc w:val="center"/>
        <w:rPr>
          <w:rFonts w:ascii="宋体" w:hAnsi="宋体" w:cs="宋体"/>
          <w:color w:val="auto"/>
          <w:sz w:val="21"/>
          <w:szCs w:val="21"/>
          <w:highlight w:val="none"/>
        </w:rPr>
      </w:pPr>
      <w:r>
        <w:rPr>
          <w:rFonts w:hint="eastAsia" w:ascii="宋体" w:hAnsi="宋体" w:cs="宋体"/>
          <w:color w:val="auto"/>
          <w:sz w:val="21"/>
          <w:szCs w:val="21"/>
          <w:highlight w:val="none"/>
        </w:rPr>
        <w:br w:type="page"/>
      </w:r>
      <w:r>
        <w:rPr>
          <w:rFonts w:hint="eastAsia" w:ascii="宋体" w:hAnsi="宋体" w:cs="宋体"/>
          <w:b/>
          <w:bCs/>
          <w:color w:val="auto"/>
          <w:sz w:val="21"/>
          <w:szCs w:val="21"/>
          <w:highlight w:val="none"/>
        </w:rPr>
        <w:t>附件4   </w:t>
      </w:r>
      <w:r>
        <w:rPr>
          <w:rStyle w:val="18"/>
          <w:rFonts w:hint="eastAsia" w:ascii="宋体" w:hAnsi="宋体" w:cs="宋体"/>
          <w:bCs/>
          <w:color w:val="auto"/>
          <w:sz w:val="21"/>
          <w:szCs w:val="21"/>
          <w:highlight w:val="none"/>
        </w:rPr>
        <w:t>磋商保证金凭证</w:t>
      </w:r>
    </w:p>
    <w:p>
      <w:pPr>
        <w:pStyle w:val="12"/>
        <w:widowControl/>
        <w:spacing w:before="75" w:beforeAutospacing="0" w:after="75" w:afterAutospacing="0"/>
        <w:rPr>
          <w:rFonts w:ascii="宋体" w:hAnsi="宋体" w:cs="宋体"/>
          <w:color w:val="auto"/>
          <w:sz w:val="21"/>
          <w:szCs w:val="21"/>
          <w:highlight w:val="none"/>
        </w:rPr>
      </w:pPr>
      <w:r>
        <w:rPr>
          <w:rFonts w:hint="eastAsia" w:ascii="宋体" w:hAnsi="宋体" w:cs="宋体"/>
          <w:color w:val="auto"/>
          <w:sz w:val="21"/>
          <w:szCs w:val="21"/>
          <w:highlight w:val="none"/>
        </w:rPr>
        <w:t> </w:t>
      </w:r>
    </w:p>
    <w:p>
      <w:pPr>
        <w:rPr>
          <w:rFonts w:ascii="宋体" w:hAnsi="宋体" w:cs="宋体"/>
          <w:color w:val="auto"/>
          <w:szCs w:val="21"/>
          <w:highlight w:val="none"/>
        </w:rPr>
      </w:pPr>
      <w:r>
        <w:rPr>
          <w:rFonts w:hint="eastAsia" w:ascii="宋体" w:hAnsi="宋体" w:cs="宋体"/>
          <w:color w:val="auto"/>
          <w:szCs w:val="21"/>
          <w:highlight w:val="none"/>
        </w:rPr>
        <w:t>编制说明：1、在此项下提交的“</w:t>
      </w:r>
      <w:r>
        <w:rPr>
          <w:rStyle w:val="18"/>
          <w:rFonts w:hint="eastAsia" w:ascii="宋体" w:hAnsi="宋体" w:cs="宋体"/>
          <w:color w:val="auto"/>
          <w:szCs w:val="21"/>
          <w:highlight w:val="none"/>
        </w:rPr>
        <w:t>磋商保证金</w:t>
      </w:r>
      <w:r>
        <w:rPr>
          <w:rFonts w:hint="eastAsia" w:ascii="宋体" w:hAnsi="宋体" w:cs="宋体"/>
          <w:color w:val="auto"/>
          <w:szCs w:val="21"/>
          <w:highlight w:val="none"/>
        </w:rPr>
        <w:t>”材料可使用转账凭证复印件（若非转账方式，提供对应证明文件）。2、磋商保证金是否已提交按照磋商文件规定执行。</w:t>
      </w:r>
    </w:p>
    <w:p>
      <w:pPr>
        <w:pStyle w:val="13"/>
        <w:rPr>
          <w:color w:val="auto"/>
          <w:highlight w:val="none"/>
        </w:rPr>
      </w:pPr>
    </w:p>
    <w:p>
      <w:pPr>
        <w:rPr>
          <w:rFonts w:ascii="宋体" w:hAnsi="宋体" w:cs="宋体"/>
          <w:color w:val="auto"/>
          <w:highlight w:val="none"/>
        </w:rPr>
      </w:pPr>
      <w:r>
        <w:rPr>
          <w:rFonts w:hint="eastAsia" w:ascii="宋体" w:hAnsi="宋体" w:cs="宋体"/>
          <w:color w:val="auto"/>
          <w:highlight w:val="none"/>
        </w:rPr>
        <w:t>致：</w:t>
      </w:r>
      <w:r>
        <w:rPr>
          <w:rFonts w:hint="eastAsia" w:ascii="宋体" w:hAnsi="宋体" w:cs="宋体"/>
          <w:color w:val="auto"/>
          <w:highlight w:val="none"/>
          <w:u w:val="single"/>
        </w:rPr>
        <w:t>宁德市有信产权交易服务有限公司</w:t>
      </w:r>
    </w:p>
    <w:p>
      <w:pPr>
        <w:rPr>
          <w:rFonts w:ascii="宋体" w:hAnsi="宋体" w:cs="宋体"/>
          <w:color w:val="auto"/>
          <w:highlight w:val="none"/>
        </w:rPr>
      </w:pPr>
      <w:r>
        <w:rPr>
          <w:rFonts w:hint="eastAsia" w:ascii="宋体" w:hAnsi="宋体" w:cs="宋体"/>
          <w:color w:val="auto"/>
          <w:highlight w:val="none"/>
        </w:rPr>
        <w:t> </w:t>
      </w:r>
    </w:p>
    <w:p>
      <w:pPr>
        <w:rPr>
          <w:rFonts w:ascii="宋体" w:hAnsi="宋体" w:cs="宋体"/>
          <w:color w:val="auto"/>
          <w:highlight w:val="none"/>
        </w:rPr>
      </w:pPr>
      <w:r>
        <w:rPr>
          <w:rFonts w:hint="eastAsia" w:ascii="宋体" w:hAnsi="宋体" w:cs="宋体"/>
          <w:color w:val="auto"/>
          <w:highlight w:val="none"/>
        </w:rPr>
        <w:t> </w:t>
      </w:r>
    </w:p>
    <w:p>
      <w:pPr>
        <w:ind w:firstLine="420" w:firstLineChars="200"/>
        <w:rPr>
          <w:rFonts w:ascii="宋体" w:hAnsi="宋体" w:cs="宋体"/>
          <w:color w:val="auto"/>
          <w:highlight w:val="none"/>
        </w:rPr>
      </w:pPr>
      <w:r>
        <w:rPr>
          <w:rFonts w:hint="eastAsia" w:ascii="宋体" w:hAnsi="宋体" w:cs="宋体"/>
          <w:color w:val="auto"/>
          <w:highlight w:val="none"/>
        </w:rPr>
        <w:t>我方在贵方组织的</w:t>
      </w:r>
      <w:r>
        <w:rPr>
          <w:rFonts w:hint="eastAsia" w:ascii="宋体" w:hAnsi="宋体" w:cs="宋体"/>
          <w:color w:val="auto"/>
          <w:highlight w:val="none"/>
          <w:u w:val="single"/>
        </w:rPr>
        <w:t>                     </w:t>
      </w:r>
      <w:r>
        <w:rPr>
          <w:rFonts w:hint="eastAsia" w:ascii="宋体" w:hAnsi="宋体" w:cs="宋体"/>
          <w:color w:val="auto"/>
          <w:highlight w:val="none"/>
        </w:rPr>
        <w:t>项目竞争性磋商采购活动中（</w:t>
      </w:r>
      <w:r>
        <w:rPr>
          <w:rFonts w:hint="eastAsia" w:ascii="宋体" w:hAnsi="宋体" w:cs="宋体"/>
          <w:color w:val="auto"/>
          <w:highlight w:val="none"/>
          <w:u w:val="single"/>
        </w:rPr>
        <w:t>项目编号          ），</w:t>
      </w:r>
      <w:r>
        <w:rPr>
          <w:rFonts w:hint="eastAsia" w:ascii="宋体" w:hAnsi="宋体" w:cs="宋体"/>
          <w:color w:val="auto"/>
          <w:highlight w:val="none"/>
        </w:rPr>
        <w:t>提交了</w:t>
      </w:r>
      <w:r>
        <w:rPr>
          <w:rFonts w:hint="eastAsia" w:ascii="宋体" w:hAnsi="宋体" w:cs="宋体"/>
          <w:color w:val="auto"/>
          <w:highlight w:val="none"/>
          <w:u w:val="single"/>
        </w:rPr>
        <w:t>             </w:t>
      </w:r>
      <w:r>
        <w:rPr>
          <w:rFonts w:hint="eastAsia" w:ascii="宋体" w:hAnsi="宋体" w:cs="宋体"/>
          <w:color w:val="auto"/>
          <w:highlight w:val="none"/>
        </w:rPr>
        <w:t>元人民币的磋商保证金。我公司汇出磋商保证金的账户信息如下：</w:t>
      </w:r>
    </w:p>
    <w:p>
      <w:pPr>
        <w:ind w:firstLine="424" w:firstLineChars="202"/>
        <w:rPr>
          <w:rFonts w:ascii="宋体" w:hAnsi="宋体" w:cs="宋体"/>
          <w:color w:val="auto"/>
          <w:highlight w:val="none"/>
        </w:rPr>
      </w:pPr>
      <w:r>
        <w:rPr>
          <w:rFonts w:hint="eastAsia" w:ascii="宋体" w:hAnsi="宋体" w:cs="宋体"/>
          <w:color w:val="auto"/>
          <w:highlight w:val="none"/>
        </w:rPr>
        <w:t> </w:t>
      </w:r>
    </w:p>
    <w:p>
      <w:pPr>
        <w:ind w:firstLine="424" w:firstLineChars="202"/>
        <w:rPr>
          <w:rFonts w:ascii="宋体" w:hAnsi="宋体" w:cs="宋体"/>
          <w:color w:val="auto"/>
          <w:highlight w:val="none"/>
        </w:rPr>
      </w:pPr>
      <w:r>
        <w:rPr>
          <w:rFonts w:hint="eastAsia" w:ascii="宋体" w:hAnsi="宋体" w:cs="宋体"/>
          <w:color w:val="auto"/>
          <w:highlight w:val="none"/>
        </w:rPr>
        <w:t>1. 开户名：</w:t>
      </w:r>
    </w:p>
    <w:p>
      <w:pPr>
        <w:ind w:firstLine="424" w:firstLineChars="202"/>
        <w:rPr>
          <w:rFonts w:ascii="宋体" w:hAnsi="宋体" w:cs="宋体"/>
          <w:color w:val="auto"/>
          <w:highlight w:val="none"/>
        </w:rPr>
      </w:pPr>
      <w:r>
        <w:rPr>
          <w:rFonts w:hint="eastAsia" w:ascii="宋体" w:hAnsi="宋体" w:cs="宋体"/>
          <w:color w:val="auto"/>
          <w:highlight w:val="none"/>
        </w:rPr>
        <w:t>2. 开户行：</w:t>
      </w:r>
    </w:p>
    <w:p>
      <w:pPr>
        <w:ind w:firstLine="424" w:firstLineChars="202"/>
        <w:rPr>
          <w:rFonts w:ascii="宋体" w:hAnsi="宋体" w:cs="宋体"/>
          <w:color w:val="auto"/>
          <w:highlight w:val="none"/>
        </w:rPr>
      </w:pPr>
      <w:r>
        <w:rPr>
          <w:rFonts w:hint="eastAsia" w:ascii="宋体" w:hAnsi="宋体" w:cs="宋体"/>
          <w:color w:val="auto"/>
          <w:highlight w:val="none"/>
        </w:rPr>
        <w:t>3. 账号：</w:t>
      </w:r>
    </w:p>
    <w:p>
      <w:pPr>
        <w:ind w:firstLine="424" w:firstLineChars="202"/>
        <w:rPr>
          <w:rFonts w:ascii="宋体" w:hAnsi="宋体" w:cs="宋体"/>
          <w:color w:val="auto"/>
          <w:highlight w:val="none"/>
        </w:rPr>
      </w:pPr>
      <w:r>
        <w:rPr>
          <w:rFonts w:hint="eastAsia" w:ascii="宋体" w:hAnsi="宋体" w:cs="宋体"/>
          <w:color w:val="auto"/>
          <w:highlight w:val="none"/>
        </w:rPr>
        <w:t>4.转账凭证:</w:t>
      </w:r>
    </w:p>
    <w:p>
      <w:pPr>
        <w:ind w:firstLine="424" w:firstLineChars="202"/>
        <w:rPr>
          <w:rFonts w:ascii="宋体" w:hAnsi="宋体" w:cs="宋体"/>
          <w:color w:val="auto"/>
          <w:highlight w:val="none"/>
        </w:rPr>
      </w:pPr>
      <w:r>
        <w:rPr>
          <w:rFonts w:hint="eastAsia" w:ascii="宋体" w:hAnsi="宋体" w:cs="宋体"/>
          <w:color w:val="auto"/>
          <w:highlight w:val="none"/>
        </w:rPr>
        <w:t> </w:t>
      </w:r>
    </w:p>
    <w:p>
      <w:pPr>
        <w:ind w:firstLine="424" w:firstLineChars="202"/>
        <w:rPr>
          <w:rFonts w:ascii="宋体" w:hAnsi="宋体" w:cs="宋体"/>
          <w:color w:val="auto"/>
          <w:highlight w:val="none"/>
        </w:rPr>
      </w:pPr>
      <w:r>
        <w:rPr>
          <w:rFonts w:hint="eastAsia" w:ascii="宋体" w:hAnsi="宋体" w:cs="宋体"/>
          <w:color w:val="auto"/>
          <w:highlight w:val="none"/>
        </w:rPr>
        <w:t> </w:t>
      </w:r>
    </w:p>
    <w:p>
      <w:pPr>
        <w:ind w:firstLine="424" w:firstLineChars="202"/>
        <w:rPr>
          <w:rFonts w:ascii="宋体" w:hAnsi="宋体" w:cs="宋体"/>
          <w:color w:val="auto"/>
          <w:highlight w:val="none"/>
        </w:rPr>
      </w:pPr>
    </w:p>
    <w:p>
      <w:pPr>
        <w:ind w:firstLine="424" w:firstLineChars="202"/>
        <w:rPr>
          <w:rFonts w:ascii="宋体" w:hAnsi="宋体" w:cs="宋体"/>
          <w:color w:val="auto"/>
          <w:highlight w:val="none"/>
        </w:rPr>
      </w:pPr>
    </w:p>
    <w:p>
      <w:pPr>
        <w:ind w:firstLine="424" w:firstLineChars="202"/>
        <w:rPr>
          <w:rFonts w:ascii="宋体" w:hAnsi="宋体" w:cs="宋体"/>
          <w:color w:val="auto"/>
          <w:highlight w:val="none"/>
        </w:rPr>
      </w:pPr>
      <w:r>
        <w:rPr>
          <w:rFonts w:hint="eastAsia" w:ascii="宋体" w:hAnsi="宋体" w:cs="宋体"/>
          <w:color w:val="auto"/>
          <w:highlight w:val="none"/>
        </w:rPr>
        <w:t> </w:t>
      </w:r>
    </w:p>
    <w:p>
      <w:pPr>
        <w:ind w:firstLine="424" w:firstLineChars="202"/>
        <w:rPr>
          <w:rFonts w:ascii="宋体" w:hAnsi="宋体" w:cs="宋体"/>
          <w:color w:val="auto"/>
          <w:highlight w:val="none"/>
        </w:rPr>
      </w:pPr>
      <w:r>
        <w:rPr>
          <w:rFonts w:hint="eastAsia" w:ascii="宋体" w:hAnsi="宋体" w:cs="宋体"/>
          <w:color w:val="auto"/>
          <w:highlight w:val="none"/>
        </w:rPr>
        <w:t>供应商代表：</w:t>
      </w:r>
      <w:r>
        <w:rPr>
          <w:rFonts w:hint="eastAsia" w:ascii="宋体" w:hAnsi="宋体" w:cs="宋体"/>
          <w:color w:val="auto"/>
          <w:highlight w:val="none"/>
          <w:u w:val="single"/>
        </w:rPr>
        <w:t>             （签字）</w:t>
      </w:r>
    </w:p>
    <w:p>
      <w:pPr>
        <w:ind w:firstLine="424" w:firstLineChars="202"/>
        <w:rPr>
          <w:rFonts w:ascii="宋体" w:hAnsi="宋体" w:cs="宋体"/>
          <w:color w:val="auto"/>
          <w:highlight w:val="none"/>
        </w:rPr>
      </w:pPr>
      <w:r>
        <w:rPr>
          <w:rFonts w:hint="eastAsia" w:ascii="宋体" w:hAnsi="宋体" w:cs="宋体"/>
          <w:color w:val="auto"/>
          <w:highlight w:val="none"/>
        </w:rPr>
        <w:t>供应商名称：</w:t>
      </w:r>
      <w:r>
        <w:rPr>
          <w:rFonts w:hint="eastAsia" w:ascii="宋体" w:hAnsi="宋体" w:cs="宋体"/>
          <w:color w:val="auto"/>
          <w:highlight w:val="none"/>
          <w:u w:val="single"/>
        </w:rPr>
        <w:t>   （全称并加盖公章）</w:t>
      </w:r>
    </w:p>
    <w:p>
      <w:pPr>
        <w:ind w:firstLine="424" w:firstLineChars="202"/>
        <w:rPr>
          <w:rFonts w:ascii="宋体" w:hAnsi="宋体" w:cs="宋体"/>
          <w:color w:val="auto"/>
          <w:highlight w:val="none"/>
        </w:rPr>
      </w:pPr>
      <w:r>
        <w:rPr>
          <w:rFonts w:hint="eastAsia" w:ascii="宋体" w:hAnsi="宋体" w:cs="宋体"/>
          <w:color w:val="auto"/>
          <w:highlight w:val="none"/>
        </w:rPr>
        <w:t>日期：</w:t>
      </w:r>
      <w:r>
        <w:rPr>
          <w:rFonts w:hint="eastAsia" w:ascii="宋体" w:hAnsi="宋体" w:cs="宋体"/>
          <w:color w:val="auto"/>
          <w:highlight w:val="none"/>
          <w:u w:val="single"/>
        </w:rPr>
        <w:t>   </w:t>
      </w:r>
      <w:r>
        <w:rPr>
          <w:rFonts w:hint="eastAsia" w:ascii="宋体" w:hAnsi="宋体" w:cs="宋体"/>
          <w:color w:val="auto"/>
          <w:highlight w:val="none"/>
        </w:rPr>
        <w:t>年</w:t>
      </w:r>
      <w:r>
        <w:rPr>
          <w:rFonts w:hint="eastAsia" w:ascii="宋体" w:hAnsi="宋体" w:cs="宋体"/>
          <w:color w:val="auto"/>
          <w:highlight w:val="none"/>
          <w:u w:val="single"/>
        </w:rPr>
        <w:t>   </w:t>
      </w:r>
      <w:r>
        <w:rPr>
          <w:rFonts w:hint="eastAsia" w:ascii="宋体" w:hAnsi="宋体" w:cs="宋体"/>
          <w:color w:val="auto"/>
          <w:highlight w:val="none"/>
        </w:rPr>
        <w:t> 月</w:t>
      </w:r>
      <w:r>
        <w:rPr>
          <w:rFonts w:hint="eastAsia" w:ascii="宋体" w:hAnsi="宋体" w:cs="宋体"/>
          <w:color w:val="auto"/>
          <w:highlight w:val="none"/>
          <w:u w:val="single"/>
        </w:rPr>
        <w:t>   </w:t>
      </w:r>
      <w:r>
        <w:rPr>
          <w:rFonts w:hint="eastAsia" w:ascii="宋体" w:hAnsi="宋体" w:cs="宋体"/>
          <w:color w:val="auto"/>
          <w:highlight w:val="none"/>
        </w:rPr>
        <w:t>日    </w:t>
      </w:r>
    </w:p>
    <w:p>
      <w:pPr>
        <w:pStyle w:val="12"/>
        <w:widowControl/>
        <w:spacing w:before="75" w:beforeAutospacing="0" w:after="75" w:afterAutospacing="0" w:line="435" w:lineRule="atLeast"/>
        <w:rPr>
          <w:rFonts w:ascii="宋体" w:hAnsi="宋体" w:cs="宋体"/>
          <w:color w:val="auto"/>
          <w:sz w:val="21"/>
          <w:szCs w:val="21"/>
          <w:highlight w:val="none"/>
        </w:rPr>
      </w:pPr>
    </w:p>
    <w:p>
      <w:pPr>
        <w:pStyle w:val="12"/>
        <w:widowControl/>
        <w:spacing w:before="75" w:beforeAutospacing="0" w:after="75" w:afterAutospacing="0" w:line="435" w:lineRule="atLeast"/>
        <w:rPr>
          <w:rFonts w:ascii="宋体" w:hAnsi="宋体" w:cs="宋体"/>
          <w:color w:val="auto"/>
          <w:sz w:val="21"/>
          <w:szCs w:val="21"/>
          <w:highlight w:val="none"/>
        </w:rPr>
      </w:pPr>
    </w:p>
    <w:p>
      <w:pPr>
        <w:pStyle w:val="12"/>
        <w:widowControl/>
        <w:spacing w:before="75" w:beforeAutospacing="0" w:after="75" w:afterAutospacing="0"/>
        <w:rPr>
          <w:rFonts w:ascii="宋体" w:hAnsi="宋体" w:cs="宋体"/>
          <w:color w:val="auto"/>
          <w:sz w:val="21"/>
          <w:szCs w:val="21"/>
          <w:highlight w:val="none"/>
        </w:rPr>
      </w:pPr>
      <w:r>
        <w:rPr>
          <w:rFonts w:hint="eastAsia" w:ascii="宋体" w:hAnsi="宋体" w:cs="宋体"/>
          <w:color w:val="auto"/>
          <w:sz w:val="21"/>
          <w:szCs w:val="21"/>
          <w:highlight w:val="none"/>
        </w:rPr>
        <w:t> </w:t>
      </w:r>
    </w:p>
    <w:p>
      <w:pPr>
        <w:pStyle w:val="12"/>
        <w:widowControl/>
        <w:spacing w:before="75" w:beforeAutospacing="0" w:after="75" w:afterAutospacing="0"/>
        <w:rPr>
          <w:rFonts w:ascii="宋体" w:hAnsi="宋体" w:cs="宋体"/>
          <w:color w:val="auto"/>
          <w:sz w:val="21"/>
          <w:szCs w:val="21"/>
          <w:highlight w:val="none"/>
        </w:rPr>
      </w:pPr>
    </w:p>
    <w:p>
      <w:pPr>
        <w:pStyle w:val="12"/>
        <w:widowControl/>
        <w:spacing w:before="75" w:beforeAutospacing="0" w:after="75" w:afterAutospacing="0"/>
        <w:rPr>
          <w:rFonts w:ascii="宋体" w:hAnsi="宋体" w:cs="宋体"/>
          <w:color w:val="auto"/>
          <w:sz w:val="21"/>
          <w:szCs w:val="21"/>
          <w:highlight w:val="none"/>
        </w:rPr>
      </w:pPr>
    </w:p>
    <w:p>
      <w:pPr>
        <w:pStyle w:val="12"/>
        <w:widowControl/>
        <w:spacing w:before="75" w:beforeAutospacing="0" w:after="75" w:afterAutospacing="0"/>
        <w:jc w:val="center"/>
        <w:rPr>
          <w:rFonts w:ascii="宋体" w:hAnsi="宋体" w:cs="宋体"/>
          <w:b/>
          <w:bCs/>
          <w:color w:val="auto"/>
          <w:sz w:val="21"/>
          <w:szCs w:val="21"/>
          <w:highlight w:val="none"/>
        </w:rPr>
      </w:pPr>
      <w:r>
        <w:rPr>
          <w:rFonts w:hint="eastAsia" w:ascii="宋体" w:hAnsi="宋体" w:cs="宋体"/>
          <w:color w:val="auto"/>
          <w:sz w:val="21"/>
          <w:szCs w:val="21"/>
          <w:highlight w:val="none"/>
        </w:rPr>
        <w:br w:type="page"/>
      </w:r>
      <w:r>
        <w:rPr>
          <w:rFonts w:hint="eastAsia" w:ascii="宋体" w:hAnsi="宋体" w:cs="宋体"/>
          <w:b/>
          <w:bCs/>
          <w:color w:val="auto"/>
          <w:sz w:val="21"/>
          <w:szCs w:val="21"/>
          <w:highlight w:val="none"/>
        </w:rPr>
        <w:t>附件5     技术和商务偏离表</w:t>
      </w:r>
    </w:p>
    <w:p>
      <w:pPr>
        <w:pStyle w:val="12"/>
        <w:widowControl/>
        <w:spacing w:before="75" w:beforeAutospacing="0" w:after="75" w:afterAutospacing="0"/>
        <w:jc w:val="center"/>
        <w:rPr>
          <w:rFonts w:ascii="宋体" w:hAnsi="宋体" w:cs="宋体"/>
          <w:color w:val="auto"/>
          <w:sz w:val="21"/>
          <w:szCs w:val="21"/>
          <w:highlight w:val="none"/>
        </w:rPr>
      </w:pPr>
      <w:r>
        <w:rPr>
          <w:rFonts w:hint="eastAsia" w:ascii="宋体" w:hAnsi="宋体" w:cs="宋体"/>
          <w:b/>
          <w:bCs/>
          <w:color w:val="auto"/>
          <w:sz w:val="21"/>
          <w:szCs w:val="21"/>
          <w:highlight w:val="none"/>
        </w:rPr>
        <w:t>附件5-1  </w:t>
      </w:r>
      <w:r>
        <w:rPr>
          <w:rStyle w:val="18"/>
          <w:rFonts w:hint="eastAsia" w:ascii="宋体" w:hAnsi="宋体" w:cs="宋体"/>
          <w:bCs/>
          <w:color w:val="auto"/>
          <w:sz w:val="21"/>
          <w:szCs w:val="21"/>
          <w:highlight w:val="none"/>
        </w:rPr>
        <w:t>技术和服务要求响应表</w:t>
      </w:r>
    </w:p>
    <w:p>
      <w:pPr>
        <w:pStyle w:val="12"/>
        <w:widowControl/>
        <w:spacing w:before="75" w:beforeAutospacing="0" w:after="75" w:afterAutospacing="0" w:line="375" w:lineRule="atLeast"/>
        <w:rPr>
          <w:rFonts w:ascii="宋体" w:hAnsi="宋体" w:cs="宋体"/>
          <w:color w:val="auto"/>
          <w:sz w:val="21"/>
          <w:szCs w:val="21"/>
          <w:highlight w:val="none"/>
        </w:rPr>
      </w:pPr>
      <w:r>
        <w:rPr>
          <w:rFonts w:hint="eastAsia" w:ascii="宋体" w:hAnsi="宋体" w:cs="宋体"/>
          <w:color w:val="auto"/>
          <w:sz w:val="21"/>
          <w:szCs w:val="21"/>
          <w:highlight w:val="none"/>
        </w:rPr>
        <w:t>供应商名称：</w:t>
      </w:r>
      <w:r>
        <w:rPr>
          <w:rFonts w:hint="eastAsia" w:ascii="宋体" w:hAnsi="宋体" w:cs="宋体"/>
          <w:color w:val="auto"/>
          <w:sz w:val="21"/>
          <w:szCs w:val="21"/>
          <w:highlight w:val="none"/>
          <w:u w:val="single"/>
        </w:rPr>
        <w:t> （全称加盖单位公章）</w:t>
      </w:r>
      <w:r>
        <w:rPr>
          <w:rFonts w:hint="eastAsia" w:ascii="宋体" w:hAnsi="宋体" w:cs="宋体"/>
          <w:color w:val="auto"/>
          <w:sz w:val="21"/>
          <w:szCs w:val="21"/>
          <w:highlight w:val="none"/>
        </w:rPr>
        <w:t>  项目编号∶</w:t>
      </w:r>
      <w:r>
        <w:rPr>
          <w:rFonts w:hint="eastAsia" w:ascii="宋体" w:hAnsi="宋体" w:cs="宋体"/>
          <w:color w:val="auto"/>
          <w:sz w:val="21"/>
          <w:szCs w:val="21"/>
          <w:highlight w:val="none"/>
          <w:u w:val="single"/>
        </w:rPr>
        <w:t>       </w:t>
      </w:r>
    </w:p>
    <w:tbl>
      <w:tblPr>
        <w:tblStyle w:val="15"/>
        <w:tblW w:w="0" w:type="auto"/>
        <w:tblCellSpacing w:w="15" w:type="dxa"/>
        <w:tblInd w:w="-3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909"/>
        <w:gridCol w:w="1777"/>
        <w:gridCol w:w="2956"/>
        <w:gridCol w:w="2660"/>
        <w:gridCol w:w="149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929" w:hRule="atLeast"/>
          <w:tblCellSpacing w:w="15" w:type="dxa"/>
        </w:trPr>
        <w:tc>
          <w:tcPr>
            <w:tcW w:w="864" w:type="dxa"/>
            <w:tcMar>
              <w:top w:w="0" w:type="dxa"/>
              <w:left w:w="105" w:type="dxa"/>
              <w:bottom w:w="0" w:type="dxa"/>
              <w:right w:w="105" w:type="dxa"/>
            </w:tcMar>
            <w:vAlign w:val="center"/>
          </w:tcPr>
          <w:p>
            <w:pPr>
              <w:pStyle w:val="12"/>
              <w:keepNext w:val="0"/>
              <w:keepLines w:val="0"/>
              <w:widowControl/>
              <w:suppressLineNumbers w:val="0"/>
              <w:spacing w:before="0" w:beforeAutospacing="0" w:after="0" w:afterAutospacing="0" w:line="375" w:lineRule="atLeast"/>
              <w:ind w:left="0" w:right="0"/>
              <w:jc w:val="center"/>
              <w:rPr>
                <w:rFonts w:hint="default" w:ascii="宋体" w:hAnsi="宋体" w:cs="宋体"/>
                <w:color w:val="auto"/>
                <w:sz w:val="21"/>
                <w:szCs w:val="21"/>
                <w:highlight w:val="none"/>
              </w:rPr>
            </w:pPr>
            <w:r>
              <w:rPr>
                <w:rFonts w:hint="eastAsia" w:ascii="宋体" w:hAnsi="宋体" w:cs="宋体"/>
                <w:color w:val="auto"/>
                <w:sz w:val="21"/>
                <w:szCs w:val="21"/>
                <w:highlight w:val="none"/>
              </w:rPr>
              <w:t>采购包</w:t>
            </w:r>
          </w:p>
        </w:tc>
        <w:tc>
          <w:tcPr>
            <w:tcW w:w="1747" w:type="dxa"/>
            <w:tcMar>
              <w:top w:w="0" w:type="dxa"/>
              <w:left w:w="105" w:type="dxa"/>
              <w:bottom w:w="0" w:type="dxa"/>
              <w:right w:w="105" w:type="dxa"/>
            </w:tcMar>
            <w:vAlign w:val="center"/>
          </w:tcPr>
          <w:p>
            <w:pPr>
              <w:pStyle w:val="12"/>
              <w:keepNext w:val="0"/>
              <w:keepLines w:val="0"/>
              <w:widowControl/>
              <w:suppressLineNumbers w:val="0"/>
              <w:spacing w:before="0" w:beforeAutospacing="0" w:after="0" w:afterAutospacing="0" w:line="375" w:lineRule="atLeast"/>
              <w:ind w:left="0" w:right="0"/>
              <w:jc w:val="center"/>
              <w:rPr>
                <w:rFonts w:hint="default" w:ascii="宋体" w:hAnsi="宋体" w:cs="宋体"/>
                <w:color w:val="auto"/>
                <w:sz w:val="21"/>
                <w:szCs w:val="21"/>
                <w:highlight w:val="none"/>
              </w:rPr>
            </w:pPr>
            <w:r>
              <w:rPr>
                <w:rFonts w:hint="eastAsia" w:ascii="宋体" w:hAnsi="宋体" w:cs="宋体"/>
                <w:color w:val="auto"/>
                <w:sz w:val="21"/>
                <w:szCs w:val="21"/>
                <w:highlight w:val="none"/>
              </w:rPr>
              <w:t>章节条目号</w:t>
            </w:r>
          </w:p>
        </w:tc>
        <w:tc>
          <w:tcPr>
            <w:tcW w:w="2926" w:type="dxa"/>
            <w:tcMar>
              <w:top w:w="0" w:type="dxa"/>
              <w:left w:w="105" w:type="dxa"/>
              <w:bottom w:w="0" w:type="dxa"/>
              <w:right w:w="105" w:type="dxa"/>
            </w:tcMar>
            <w:vAlign w:val="center"/>
          </w:tcPr>
          <w:p>
            <w:pPr>
              <w:pStyle w:val="12"/>
              <w:keepNext w:val="0"/>
              <w:keepLines w:val="0"/>
              <w:widowControl/>
              <w:suppressLineNumbers w:val="0"/>
              <w:spacing w:before="0" w:beforeAutospacing="0" w:after="0" w:afterAutospacing="0" w:line="375" w:lineRule="atLeast"/>
              <w:ind w:left="0" w:right="0"/>
              <w:jc w:val="center"/>
              <w:rPr>
                <w:rFonts w:hint="default" w:ascii="宋体" w:hAnsi="宋体" w:cs="宋体"/>
                <w:color w:val="auto"/>
                <w:sz w:val="21"/>
                <w:szCs w:val="21"/>
                <w:highlight w:val="none"/>
              </w:rPr>
            </w:pPr>
            <w:r>
              <w:rPr>
                <w:rFonts w:hint="eastAsia" w:ascii="宋体" w:hAnsi="宋体" w:cs="宋体"/>
                <w:color w:val="auto"/>
                <w:sz w:val="21"/>
                <w:szCs w:val="21"/>
                <w:highlight w:val="none"/>
              </w:rPr>
              <w:t>竞争性磋商文件规定的技术和服务要求</w:t>
            </w:r>
          </w:p>
        </w:tc>
        <w:tc>
          <w:tcPr>
            <w:tcW w:w="2630" w:type="dxa"/>
            <w:tcMar>
              <w:top w:w="0" w:type="dxa"/>
              <w:left w:w="105" w:type="dxa"/>
              <w:bottom w:w="0" w:type="dxa"/>
              <w:right w:w="105" w:type="dxa"/>
            </w:tcMar>
            <w:vAlign w:val="center"/>
          </w:tcPr>
          <w:p>
            <w:pPr>
              <w:pStyle w:val="12"/>
              <w:keepNext w:val="0"/>
              <w:keepLines w:val="0"/>
              <w:widowControl/>
              <w:suppressLineNumbers w:val="0"/>
              <w:spacing w:before="0" w:beforeAutospacing="0" w:after="0" w:afterAutospacing="0" w:line="375" w:lineRule="atLeast"/>
              <w:ind w:left="0" w:right="0"/>
              <w:jc w:val="center"/>
              <w:rPr>
                <w:rFonts w:hint="default" w:ascii="宋体" w:hAnsi="宋体" w:cs="宋体"/>
                <w:color w:val="auto"/>
                <w:sz w:val="21"/>
                <w:szCs w:val="21"/>
                <w:highlight w:val="none"/>
              </w:rPr>
            </w:pPr>
            <w:r>
              <w:rPr>
                <w:rFonts w:hint="eastAsia" w:ascii="宋体" w:hAnsi="宋体" w:cs="宋体"/>
                <w:color w:val="auto"/>
                <w:sz w:val="21"/>
                <w:szCs w:val="21"/>
                <w:highlight w:val="none"/>
              </w:rPr>
              <w:t>响应文件响应承诺</w:t>
            </w:r>
          </w:p>
        </w:tc>
        <w:tc>
          <w:tcPr>
            <w:tcW w:w="1453" w:type="dxa"/>
            <w:tcMar>
              <w:top w:w="0" w:type="dxa"/>
              <w:left w:w="105" w:type="dxa"/>
              <w:bottom w:w="0" w:type="dxa"/>
              <w:right w:w="105" w:type="dxa"/>
            </w:tcMar>
            <w:vAlign w:val="center"/>
          </w:tcPr>
          <w:p>
            <w:pPr>
              <w:pStyle w:val="12"/>
              <w:keepNext w:val="0"/>
              <w:keepLines w:val="0"/>
              <w:widowControl/>
              <w:suppressLineNumbers w:val="0"/>
              <w:spacing w:before="0" w:beforeAutospacing="0" w:after="0" w:afterAutospacing="0" w:line="375" w:lineRule="atLeast"/>
              <w:ind w:left="0" w:right="0"/>
              <w:jc w:val="center"/>
              <w:rPr>
                <w:rFonts w:hint="default" w:ascii="宋体" w:hAnsi="宋体" w:cs="宋体"/>
                <w:color w:val="auto"/>
                <w:sz w:val="21"/>
                <w:szCs w:val="21"/>
                <w:highlight w:val="none"/>
              </w:rPr>
            </w:pPr>
            <w:r>
              <w:rPr>
                <w:rFonts w:hint="eastAsia" w:ascii="宋体" w:hAnsi="宋体" w:cs="宋体"/>
                <w:color w:val="auto"/>
                <w:sz w:val="21"/>
                <w:szCs w:val="21"/>
                <w:highlight w:val="none"/>
              </w:rPr>
              <w:t>是否偏离及说明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24" w:hRule="atLeast"/>
          <w:tblCellSpacing w:w="15" w:type="dxa"/>
        </w:trPr>
        <w:tc>
          <w:tcPr>
            <w:tcW w:w="864" w:type="dxa"/>
            <w:tcMar>
              <w:top w:w="0" w:type="dxa"/>
              <w:left w:w="105" w:type="dxa"/>
              <w:bottom w:w="0" w:type="dxa"/>
              <w:right w:w="105" w:type="dxa"/>
            </w:tcMar>
            <w:vAlign w:val="center"/>
          </w:tcPr>
          <w:p>
            <w:pPr>
              <w:keepNext w:val="0"/>
              <w:keepLines w:val="0"/>
              <w:widowControl/>
              <w:suppressLineNumbers w:val="0"/>
              <w:spacing w:before="0" w:beforeAutospacing="0" w:after="0" w:afterAutospacing="0"/>
              <w:ind w:left="0" w:right="0"/>
              <w:jc w:val="left"/>
              <w:rPr>
                <w:rFonts w:hint="default" w:ascii="宋体" w:hAnsi="宋体" w:cs="宋体"/>
                <w:color w:val="auto"/>
                <w:szCs w:val="21"/>
                <w:highlight w:val="none"/>
              </w:rPr>
            </w:pPr>
          </w:p>
        </w:tc>
        <w:tc>
          <w:tcPr>
            <w:tcW w:w="1747" w:type="dxa"/>
            <w:tcMar>
              <w:top w:w="0" w:type="dxa"/>
              <w:left w:w="105" w:type="dxa"/>
              <w:bottom w:w="0" w:type="dxa"/>
              <w:right w:w="105" w:type="dxa"/>
            </w:tcMar>
            <w:vAlign w:val="center"/>
          </w:tcPr>
          <w:p>
            <w:pPr>
              <w:keepNext w:val="0"/>
              <w:keepLines w:val="0"/>
              <w:widowControl/>
              <w:suppressLineNumbers w:val="0"/>
              <w:spacing w:before="0" w:beforeAutospacing="0" w:after="0" w:afterAutospacing="0"/>
              <w:ind w:left="0" w:right="0"/>
              <w:jc w:val="left"/>
              <w:rPr>
                <w:rFonts w:hint="default" w:ascii="宋体" w:hAnsi="宋体" w:cs="宋体"/>
                <w:color w:val="auto"/>
                <w:szCs w:val="21"/>
                <w:highlight w:val="none"/>
              </w:rPr>
            </w:pPr>
          </w:p>
        </w:tc>
        <w:tc>
          <w:tcPr>
            <w:tcW w:w="2926" w:type="dxa"/>
            <w:tcMar>
              <w:top w:w="0" w:type="dxa"/>
              <w:left w:w="105" w:type="dxa"/>
              <w:bottom w:w="0" w:type="dxa"/>
              <w:right w:w="105" w:type="dxa"/>
            </w:tcMar>
            <w:vAlign w:val="center"/>
          </w:tcPr>
          <w:p>
            <w:pPr>
              <w:keepNext w:val="0"/>
              <w:keepLines w:val="0"/>
              <w:widowControl/>
              <w:suppressLineNumbers w:val="0"/>
              <w:spacing w:before="0" w:beforeAutospacing="0" w:after="0" w:afterAutospacing="0"/>
              <w:ind w:left="0" w:right="0"/>
              <w:jc w:val="left"/>
              <w:rPr>
                <w:rFonts w:hint="default" w:ascii="宋体" w:hAnsi="宋体" w:cs="宋体"/>
                <w:color w:val="auto"/>
                <w:szCs w:val="21"/>
                <w:highlight w:val="none"/>
              </w:rPr>
            </w:pPr>
          </w:p>
        </w:tc>
        <w:tc>
          <w:tcPr>
            <w:tcW w:w="2630" w:type="dxa"/>
            <w:tcMar>
              <w:top w:w="0" w:type="dxa"/>
              <w:left w:w="105" w:type="dxa"/>
              <w:bottom w:w="0" w:type="dxa"/>
              <w:right w:w="105" w:type="dxa"/>
            </w:tcMar>
            <w:vAlign w:val="center"/>
          </w:tcPr>
          <w:p>
            <w:pPr>
              <w:keepNext w:val="0"/>
              <w:keepLines w:val="0"/>
              <w:widowControl/>
              <w:suppressLineNumbers w:val="0"/>
              <w:spacing w:before="0" w:beforeAutospacing="0" w:after="0" w:afterAutospacing="0"/>
              <w:ind w:left="0" w:right="0"/>
              <w:jc w:val="left"/>
              <w:rPr>
                <w:rFonts w:hint="default" w:ascii="宋体" w:hAnsi="宋体" w:cs="宋体"/>
                <w:color w:val="auto"/>
                <w:szCs w:val="21"/>
                <w:highlight w:val="none"/>
              </w:rPr>
            </w:pPr>
          </w:p>
        </w:tc>
        <w:tc>
          <w:tcPr>
            <w:tcW w:w="1453" w:type="dxa"/>
            <w:tcMar>
              <w:top w:w="0" w:type="dxa"/>
              <w:left w:w="105" w:type="dxa"/>
              <w:bottom w:w="0" w:type="dxa"/>
              <w:right w:w="105" w:type="dxa"/>
            </w:tcMar>
            <w:vAlign w:val="center"/>
          </w:tcPr>
          <w:p>
            <w:pPr>
              <w:keepNext w:val="0"/>
              <w:keepLines w:val="0"/>
              <w:widowControl/>
              <w:suppressLineNumbers w:val="0"/>
              <w:spacing w:before="0" w:beforeAutospacing="0" w:after="0" w:afterAutospacing="0"/>
              <w:ind w:left="0" w:right="0"/>
              <w:jc w:val="left"/>
              <w:rPr>
                <w:rFonts w:hint="default" w:ascii="宋体" w:hAnsi="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24" w:hRule="atLeast"/>
          <w:tblCellSpacing w:w="15" w:type="dxa"/>
        </w:trPr>
        <w:tc>
          <w:tcPr>
            <w:tcW w:w="864" w:type="dxa"/>
            <w:tcMar>
              <w:top w:w="0" w:type="dxa"/>
              <w:left w:w="105" w:type="dxa"/>
              <w:bottom w:w="0" w:type="dxa"/>
              <w:right w:w="105" w:type="dxa"/>
            </w:tcMar>
            <w:vAlign w:val="center"/>
          </w:tcPr>
          <w:p>
            <w:pPr>
              <w:keepNext w:val="0"/>
              <w:keepLines w:val="0"/>
              <w:widowControl/>
              <w:suppressLineNumbers w:val="0"/>
              <w:spacing w:before="0" w:beforeAutospacing="0" w:after="0" w:afterAutospacing="0"/>
              <w:ind w:left="0" w:right="0"/>
              <w:jc w:val="left"/>
              <w:rPr>
                <w:rFonts w:hint="default" w:ascii="宋体" w:hAnsi="宋体" w:cs="宋体"/>
                <w:color w:val="auto"/>
                <w:szCs w:val="21"/>
                <w:highlight w:val="none"/>
              </w:rPr>
            </w:pPr>
          </w:p>
        </w:tc>
        <w:tc>
          <w:tcPr>
            <w:tcW w:w="1747" w:type="dxa"/>
            <w:tcMar>
              <w:top w:w="0" w:type="dxa"/>
              <w:left w:w="105" w:type="dxa"/>
              <w:bottom w:w="0" w:type="dxa"/>
              <w:right w:w="105" w:type="dxa"/>
            </w:tcMar>
            <w:vAlign w:val="center"/>
          </w:tcPr>
          <w:p>
            <w:pPr>
              <w:keepNext w:val="0"/>
              <w:keepLines w:val="0"/>
              <w:widowControl/>
              <w:suppressLineNumbers w:val="0"/>
              <w:spacing w:before="0" w:beforeAutospacing="0" w:after="0" w:afterAutospacing="0"/>
              <w:ind w:left="0" w:right="0"/>
              <w:jc w:val="left"/>
              <w:rPr>
                <w:rFonts w:hint="default" w:ascii="宋体" w:hAnsi="宋体" w:cs="宋体"/>
                <w:color w:val="auto"/>
                <w:szCs w:val="21"/>
                <w:highlight w:val="none"/>
              </w:rPr>
            </w:pPr>
          </w:p>
        </w:tc>
        <w:tc>
          <w:tcPr>
            <w:tcW w:w="2926" w:type="dxa"/>
            <w:tcMar>
              <w:top w:w="0" w:type="dxa"/>
              <w:left w:w="105" w:type="dxa"/>
              <w:bottom w:w="0" w:type="dxa"/>
              <w:right w:w="105" w:type="dxa"/>
            </w:tcMar>
            <w:vAlign w:val="center"/>
          </w:tcPr>
          <w:p>
            <w:pPr>
              <w:keepNext w:val="0"/>
              <w:keepLines w:val="0"/>
              <w:widowControl/>
              <w:suppressLineNumbers w:val="0"/>
              <w:spacing w:before="0" w:beforeAutospacing="0" w:after="0" w:afterAutospacing="0"/>
              <w:ind w:left="0" w:right="0"/>
              <w:jc w:val="left"/>
              <w:rPr>
                <w:rFonts w:hint="default" w:ascii="宋体" w:hAnsi="宋体" w:cs="宋体"/>
                <w:color w:val="auto"/>
                <w:szCs w:val="21"/>
                <w:highlight w:val="none"/>
              </w:rPr>
            </w:pPr>
          </w:p>
        </w:tc>
        <w:tc>
          <w:tcPr>
            <w:tcW w:w="2630" w:type="dxa"/>
            <w:tcMar>
              <w:top w:w="0" w:type="dxa"/>
              <w:left w:w="105" w:type="dxa"/>
              <w:bottom w:w="0" w:type="dxa"/>
              <w:right w:w="105" w:type="dxa"/>
            </w:tcMar>
            <w:vAlign w:val="center"/>
          </w:tcPr>
          <w:p>
            <w:pPr>
              <w:keepNext w:val="0"/>
              <w:keepLines w:val="0"/>
              <w:widowControl/>
              <w:suppressLineNumbers w:val="0"/>
              <w:spacing w:before="0" w:beforeAutospacing="0" w:after="0" w:afterAutospacing="0"/>
              <w:ind w:left="0" w:right="0"/>
              <w:jc w:val="left"/>
              <w:rPr>
                <w:rFonts w:hint="default" w:ascii="宋体" w:hAnsi="宋体" w:cs="宋体"/>
                <w:color w:val="auto"/>
                <w:szCs w:val="21"/>
                <w:highlight w:val="none"/>
              </w:rPr>
            </w:pPr>
          </w:p>
        </w:tc>
        <w:tc>
          <w:tcPr>
            <w:tcW w:w="1453" w:type="dxa"/>
            <w:tcMar>
              <w:top w:w="0" w:type="dxa"/>
              <w:left w:w="105" w:type="dxa"/>
              <w:bottom w:w="0" w:type="dxa"/>
              <w:right w:w="105" w:type="dxa"/>
            </w:tcMar>
            <w:vAlign w:val="center"/>
          </w:tcPr>
          <w:p>
            <w:pPr>
              <w:keepNext w:val="0"/>
              <w:keepLines w:val="0"/>
              <w:widowControl/>
              <w:suppressLineNumbers w:val="0"/>
              <w:spacing w:before="0" w:beforeAutospacing="0" w:after="0" w:afterAutospacing="0"/>
              <w:ind w:left="0" w:right="0"/>
              <w:jc w:val="left"/>
              <w:rPr>
                <w:rFonts w:hint="default" w:ascii="宋体" w:hAnsi="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24" w:hRule="atLeast"/>
          <w:tblCellSpacing w:w="15" w:type="dxa"/>
        </w:trPr>
        <w:tc>
          <w:tcPr>
            <w:tcW w:w="864" w:type="dxa"/>
            <w:tcMar>
              <w:top w:w="0" w:type="dxa"/>
              <w:left w:w="105" w:type="dxa"/>
              <w:bottom w:w="0" w:type="dxa"/>
              <w:right w:w="105" w:type="dxa"/>
            </w:tcMar>
            <w:vAlign w:val="center"/>
          </w:tcPr>
          <w:p>
            <w:pPr>
              <w:keepNext w:val="0"/>
              <w:keepLines w:val="0"/>
              <w:widowControl/>
              <w:suppressLineNumbers w:val="0"/>
              <w:spacing w:before="0" w:beforeAutospacing="0" w:after="0" w:afterAutospacing="0"/>
              <w:ind w:left="0" w:right="0"/>
              <w:jc w:val="left"/>
              <w:rPr>
                <w:rFonts w:hint="default" w:ascii="宋体" w:hAnsi="宋体" w:cs="宋体"/>
                <w:color w:val="auto"/>
                <w:szCs w:val="21"/>
                <w:highlight w:val="none"/>
              </w:rPr>
            </w:pPr>
          </w:p>
        </w:tc>
        <w:tc>
          <w:tcPr>
            <w:tcW w:w="1747" w:type="dxa"/>
            <w:tcMar>
              <w:top w:w="0" w:type="dxa"/>
              <w:left w:w="105" w:type="dxa"/>
              <w:bottom w:w="0" w:type="dxa"/>
              <w:right w:w="105" w:type="dxa"/>
            </w:tcMar>
            <w:vAlign w:val="center"/>
          </w:tcPr>
          <w:p>
            <w:pPr>
              <w:keepNext w:val="0"/>
              <w:keepLines w:val="0"/>
              <w:widowControl/>
              <w:suppressLineNumbers w:val="0"/>
              <w:spacing w:before="0" w:beforeAutospacing="0" w:after="0" w:afterAutospacing="0"/>
              <w:ind w:left="0" w:right="0"/>
              <w:jc w:val="left"/>
              <w:rPr>
                <w:rFonts w:hint="default" w:ascii="宋体" w:hAnsi="宋体" w:cs="宋体"/>
                <w:color w:val="auto"/>
                <w:szCs w:val="21"/>
                <w:highlight w:val="none"/>
              </w:rPr>
            </w:pPr>
          </w:p>
        </w:tc>
        <w:tc>
          <w:tcPr>
            <w:tcW w:w="2926" w:type="dxa"/>
            <w:tcMar>
              <w:top w:w="0" w:type="dxa"/>
              <w:left w:w="105" w:type="dxa"/>
              <w:bottom w:w="0" w:type="dxa"/>
              <w:right w:w="105" w:type="dxa"/>
            </w:tcMar>
            <w:vAlign w:val="center"/>
          </w:tcPr>
          <w:p>
            <w:pPr>
              <w:keepNext w:val="0"/>
              <w:keepLines w:val="0"/>
              <w:widowControl/>
              <w:suppressLineNumbers w:val="0"/>
              <w:spacing w:before="0" w:beforeAutospacing="0" w:after="0" w:afterAutospacing="0"/>
              <w:ind w:left="0" w:right="0"/>
              <w:jc w:val="left"/>
              <w:rPr>
                <w:rFonts w:hint="default" w:ascii="宋体" w:hAnsi="宋体" w:cs="宋体"/>
                <w:color w:val="auto"/>
                <w:szCs w:val="21"/>
                <w:highlight w:val="none"/>
              </w:rPr>
            </w:pPr>
          </w:p>
        </w:tc>
        <w:tc>
          <w:tcPr>
            <w:tcW w:w="2630" w:type="dxa"/>
            <w:tcMar>
              <w:top w:w="0" w:type="dxa"/>
              <w:left w:w="105" w:type="dxa"/>
              <w:bottom w:w="0" w:type="dxa"/>
              <w:right w:w="105" w:type="dxa"/>
            </w:tcMar>
            <w:vAlign w:val="center"/>
          </w:tcPr>
          <w:p>
            <w:pPr>
              <w:keepNext w:val="0"/>
              <w:keepLines w:val="0"/>
              <w:widowControl/>
              <w:suppressLineNumbers w:val="0"/>
              <w:spacing w:before="0" w:beforeAutospacing="0" w:after="0" w:afterAutospacing="0"/>
              <w:ind w:left="0" w:right="0"/>
              <w:jc w:val="left"/>
              <w:rPr>
                <w:rFonts w:hint="default" w:ascii="宋体" w:hAnsi="宋体" w:cs="宋体"/>
                <w:color w:val="auto"/>
                <w:szCs w:val="21"/>
                <w:highlight w:val="none"/>
              </w:rPr>
            </w:pPr>
          </w:p>
        </w:tc>
        <w:tc>
          <w:tcPr>
            <w:tcW w:w="1453" w:type="dxa"/>
            <w:tcMar>
              <w:top w:w="0" w:type="dxa"/>
              <w:left w:w="105" w:type="dxa"/>
              <w:bottom w:w="0" w:type="dxa"/>
              <w:right w:w="105" w:type="dxa"/>
            </w:tcMar>
            <w:vAlign w:val="center"/>
          </w:tcPr>
          <w:p>
            <w:pPr>
              <w:keepNext w:val="0"/>
              <w:keepLines w:val="0"/>
              <w:widowControl/>
              <w:suppressLineNumbers w:val="0"/>
              <w:spacing w:before="0" w:beforeAutospacing="0" w:after="0" w:afterAutospacing="0"/>
              <w:ind w:left="0" w:right="0"/>
              <w:jc w:val="left"/>
              <w:rPr>
                <w:rFonts w:hint="default" w:ascii="宋体" w:hAnsi="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24" w:hRule="atLeast"/>
          <w:tblCellSpacing w:w="15" w:type="dxa"/>
        </w:trPr>
        <w:tc>
          <w:tcPr>
            <w:tcW w:w="864" w:type="dxa"/>
            <w:tcMar>
              <w:top w:w="0" w:type="dxa"/>
              <w:left w:w="105" w:type="dxa"/>
              <w:bottom w:w="0" w:type="dxa"/>
              <w:right w:w="105" w:type="dxa"/>
            </w:tcMar>
            <w:vAlign w:val="center"/>
          </w:tcPr>
          <w:p>
            <w:pPr>
              <w:keepNext w:val="0"/>
              <w:keepLines w:val="0"/>
              <w:widowControl/>
              <w:suppressLineNumbers w:val="0"/>
              <w:spacing w:before="0" w:beforeAutospacing="0" w:after="0" w:afterAutospacing="0"/>
              <w:ind w:left="0" w:right="0"/>
              <w:jc w:val="left"/>
              <w:rPr>
                <w:rFonts w:hint="default" w:ascii="宋体" w:hAnsi="宋体" w:cs="宋体"/>
                <w:color w:val="auto"/>
                <w:szCs w:val="21"/>
                <w:highlight w:val="none"/>
              </w:rPr>
            </w:pPr>
          </w:p>
        </w:tc>
        <w:tc>
          <w:tcPr>
            <w:tcW w:w="1747" w:type="dxa"/>
            <w:tcMar>
              <w:top w:w="0" w:type="dxa"/>
              <w:left w:w="105" w:type="dxa"/>
              <w:bottom w:w="0" w:type="dxa"/>
              <w:right w:w="105" w:type="dxa"/>
            </w:tcMar>
            <w:vAlign w:val="center"/>
          </w:tcPr>
          <w:p>
            <w:pPr>
              <w:keepNext w:val="0"/>
              <w:keepLines w:val="0"/>
              <w:widowControl/>
              <w:suppressLineNumbers w:val="0"/>
              <w:spacing w:before="0" w:beforeAutospacing="0" w:after="0" w:afterAutospacing="0"/>
              <w:ind w:left="0" w:right="0"/>
              <w:jc w:val="left"/>
              <w:rPr>
                <w:rFonts w:hint="default" w:ascii="宋体" w:hAnsi="宋体" w:cs="宋体"/>
                <w:color w:val="auto"/>
                <w:szCs w:val="21"/>
                <w:highlight w:val="none"/>
              </w:rPr>
            </w:pPr>
          </w:p>
        </w:tc>
        <w:tc>
          <w:tcPr>
            <w:tcW w:w="2926" w:type="dxa"/>
            <w:tcMar>
              <w:top w:w="0" w:type="dxa"/>
              <w:left w:w="105" w:type="dxa"/>
              <w:bottom w:w="0" w:type="dxa"/>
              <w:right w:w="105" w:type="dxa"/>
            </w:tcMar>
            <w:vAlign w:val="center"/>
          </w:tcPr>
          <w:p>
            <w:pPr>
              <w:keepNext w:val="0"/>
              <w:keepLines w:val="0"/>
              <w:widowControl/>
              <w:suppressLineNumbers w:val="0"/>
              <w:spacing w:before="0" w:beforeAutospacing="0" w:after="0" w:afterAutospacing="0"/>
              <w:ind w:left="0" w:right="0"/>
              <w:jc w:val="left"/>
              <w:rPr>
                <w:rFonts w:hint="default" w:ascii="宋体" w:hAnsi="宋体" w:cs="宋体"/>
                <w:color w:val="auto"/>
                <w:szCs w:val="21"/>
                <w:highlight w:val="none"/>
              </w:rPr>
            </w:pPr>
          </w:p>
        </w:tc>
        <w:tc>
          <w:tcPr>
            <w:tcW w:w="2630" w:type="dxa"/>
            <w:tcMar>
              <w:top w:w="0" w:type="dxa"/>
              <w:left w:w="105" w:type="dxa"/>
              <w:bottom w:w="0" w:type="dxa"/>
              <w:right w:w="105" w:type="dxa"/>
            </w:tcMar>
            <w:vAlign w:val="center"/>
          </w:tcPr>
          <w:p>
            <w:pPr>
              <w:keepNext w:val="0"/>
              <w:keepLines w:val="0"/>
              <w:widowControl/>
              <w:suppressLineNumbers w:val="0"/>
              <w:spacing w:before="0" w:beforeAutospacing="0" w:after="0" w:afterAutospacing="0"/>
              <w:ind w:left="0" w:right="0"/>
              <w:jc w:val="left"/>
              <w:rPr>
                <w:rFonts w:hint="default" w:ascii="宋体" w:hAnsi="宋体" w:cs="宋体"/>
                <w:color w:val="auto"/>
                <w:szCs w:val="21"/>
                <w:highlight w:val="none"/>
              </w:rPr>
            </w:pPr>
          </w:p>
        </w:tc>
        <w:tc>
          <w:tcPr>
            <w:tcW w:w="1453" w:type="dxa"/>
            <w:tcMar>
              <w:top w:w="0" w:type="dxa"/>
              <w:left w:w="105" w:type="dxa"/>
              <w:bottom w:w="0" w:type="dxa"/>
              <w:right w:w="105" w:type="dxa"/>
            </w:tcMar>
            <w:vAlign w:val="center"/>
          </w:tcPr>
          <w:p>
            <w:pPr>
              <w:keepNext w:val="0"/>
              <w:keepLines w:val="0"/>
              <w:widowControl/>
              <w:suppressLineNumbers w:val="0"/>
              <w:spacing w:before="0" w:beforeAutospacing="0" w:after="0" w:afterAutospacing="0"/>
              <w:ind w:left="0" w:right="0"/>
              <w:jc w:val="left"/>
              <w:rPr>
                <w:rFonts w:hint="default" w:ascii="宋体" w:hAnsi="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24" w:hRule="atLeast"/>
          <w:tblCellSpacing w:w="15" w:type="dxa"/>
        </w:trPr>
        <w:tc>
          <w:tcPr>
            <w:tcW w:w="864" w:type="dxa"/>
            <w:tcMar>
              <w:top w:w="0" w:type="dxa"/>
              <w:left w:w="105" w:type="dxa"/>
              <w:bottom w:w="0" w:type="dxa"/>
              <w:right w:w="105" w:type="dxa"/>
            </w:tcMar>
            <w:vAlign w:val="center"/>
          </w:tcPr>
          <w:p>
            <w:pPr>
              <w:keepNext w:val="0"/>
              <w:keepLines w:val="0"/>
              <w:widowControl/>
              <w:suppressLineNumbers w:val="0"/>
              <w:spacing w:before="0" w:beforeAutospacing="0" w:after="0" w:afterAutospacing="0"/>
              <w:ind w:left="0" w:right="0"/>
              <w:jc w:val="left"/>
              <w:rPr>
                <w:rFonts w:hint="default" w:ascii="宋体" w:hAnsi="宋体" w:cs="宋体"/>
                <w:color w:val="auto"/>
                <w:szCs w:val="21"/>
                <w:highlight w:val="none"/>
              </w:rPr>
            </w:pPr>
          </w:p>
        </w:tc>
        <w:tc>
          <w:tcPr>
            <w:tcW w:w="1747" w:type="dxa"/>
            <w:tcMar>
              <w:top w:w="0" w:type="dxa"/>
              <w:left w:w="105" w:type="dxa"/>
              <w:bottom w:w="0" w:type="dxa"/>
              <w:right w:w="105" w:type="dxa"/>
            </w:tcMar>
            <w:vAlign w:val="center"/>
          </w:tcPr>
          <w:p>
            <w:pPr>
              <w:keepNext w:val="0"/>
              <w:keepLines w:val="0"/>
              <w:widowControl/>
              <w:suppressLineNumbers w:val="0"/>
              <w:spacing w:before="0" w:beforeAutospacing="0" w:after="0" w:afterAutospacing="0"/>
              <w:ind w:left="0" w:right="0"/>
              <w:jc w:val="left"/>
              <w:rPr>
                <w:rFonts w:hint="default" w:ascii="宋体" w:hAnsi="宋体" w:cs="宋体"/>
                <w:color w:val="auto"/>
                <w:szCs w:val="21"/>
                <w:highlight w:val="none"/>
              </w:rPr>
            </w:pPr>
          </w:p>
        </w:tc>
        <w:tc>
          <w:tcPr>
            <w:tcW w:w="2926" w:type="dxa"/>
            <w:tcMar>
              <w:top w:w="0" w:type="dxa"/>
              <w:left w:w="105" w:type="dxa"/>
              <w:bottom w:w="0" w:type="dxa"/>
              <w:right w:w="105" w:type="dxa"/>
            </w:tcMar>
            <w:vAlign w:val="center"/>
          </w:tcPr>
          <w:p>
            <w:pPr>
              <w:keepNext w:val="0"/>
              <w:keepLines w:val="0"/>
              <w:widowControl/>
              <w:suppressLineNumbers w:val="0"/>
              <w:spacing w:before="0" w:beforeAutospacing="0" w:after="0" w:afterAutospacing="0"/>
              <w:ind w:left="0" w:right="0"/>
              <w:jc w:val="left"/>
              <w:rPr>
                <w:rFonts w:hint="default" w:ascii="宋体" w:hAnsi="宋体" w:cs="宋体"/>
                <w:color w:val="auto"/>
                <w:szCs w:val="21"/>
                <w:highlight w:val="none"/>
              </w:rPr>
            </w:pPr>
          </w:p>
        </w:tc>
        <w:tc>
          <w:tcPr>
            <w:tcW w:w="2630" w:type="dxa"/>
            <w:tcMar>
              <w:top w:w="0" w:type="dxa"/>
              <w:left w:w="105" w:type="dxa"/>
              <w:bottom w:w="0" w:type="dxa"/>
              <w:right w:w="105" w:type="dxa"/>
            </w:tcMar>
            <w:vAlign w:val="center"/>
          </w:tcPr>
          <w:p>
            <w:pPr>
              <w:keepNext w:val="0"/>
              <w:keepLines w:val="0"/>
              <w:widowControl/>
              <w:suppressLineNumbers w:val="0"/>
              <w:spacing w:before="0" w:beforeAutospacing="0" w:after="0" w:afterAutospacing="0"/>
              <w:ind w:left="0" w:right="0"/>
              <w:jc w:val="left"/>
              <w:rPr>
                <w:rFonts w:hint="default" w:ascii="宋体" w:hAnsi="宋体" w:cs="宋体"/>
                <w:color w:val="auto"/>
                <w:szCs w:val="21"/>
                <w:highlight w:val="none"/>
              </w:rPr>
            </w:pPr>
          </w:p>
        </w:tc>
        <w:tc>
          <w:tcPr>
            <w:tcW w:w="1453" w:type="dxa"/>
            <w:tcMar>
              <w:top w:w="0" w:type="dxa"/>
              <w:left w:w="105" w:type="dxa"/>
              <w:bottom w:w="0" w:type="dxa"/>
              <w:right w:w="105" w:type="dxa"/>
            </w:tcMar>
            <w:vAlign w:val="center"/>
          </w:tcPr>
          <w:p>
            <w:pPr>
              <w:keepNext w:val="0"/>
              <w:keepLines w:val="0"/>
              <w:widowControl/>
              <w:suppressLineNumbers w:val="0"/>
              <w:spacing w:before="0" w:beforeAutospacing="0" w:after="0" w:afterAutospacing="0"/>
              <w:ind w:left="0" w:right="0"/>
              <w:jc w:val="left"/>
              <w:rPr>
                <w:rFonts w:hint="default" w:ascii="宋体" w:hAnsi="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24" w:hRule="atLeast"/>
          <w:tblCellSpacing w:w="15" w:type="dxa"/>
        </w:trPr>
        <w:tc>
          <w:tcPr>
            <w:tcW w:w="864" w:type="dxa"/>
            <w:tcMar>
              <w:top w:w="0" w:type="dxa"/>
              <w:left w:w="105" w:type="dxa"/>
              <w:bottom w:w="0" w:type="dxa"/>
              <w:right w:w="105" w:type="dxa"/>
            </w:tcMar>
            <w:vAlign w:val="center"/>
          </w:tcPr>
          <w:p>
            <w:pPr>
              <w:keepNext w:val="0"/>
              <w:keepLines w:val="0"/>
              <w:widowControl/>
              <w:suppressLineNumbers w:val="0"/>
              <w:spacing w:before="0" w:beforeAutospacing="0" w:after="0" w:afterAutospacing="0"/>
              <w:ind w:left="0" w:right="0"/>
              <w:jc w:val="left"/>
              <w:rPr>
                <w:rFonts w:hint="default" w:ascii="宋体" w:hAnsi="宋体" w:cs="宋体"/>
                <w:color w:val="auto"/>
                <w:szCs w:val="21"/>
                <w:highlight w:val="none"/>
              </w:rPr>
            </w:pPr>
          </w:p>
        </w:tc>
        <w:tc>
          <w:tcPr>
            <w:tcW w:w="1747" w:type="dxa"/>
            <w:tcMar>
              <w:top w:w="0" w:type="dxa"/>
              <w:left w:w="105" w:type="dxa"/>
              <w:bottom w:w="0" w:type="dxa"/>
              <w:right w:w="105" w:type="dxa"/>
            </w:tcMar>
            <w:vAlign w:val="center"/>
          </w:tcPr>
          <w:p>
            <w:pPr>
              <w:keepNext w:val="0"/>
              <w:keepLines w:val="0"/>
              <w:widowControl/>
              <w:suppressLineNumbers w:val="0"/>
              <w:spacing w:before="0" w:beforeAutospacing="0" w:after="0" w:afterAutospacing="0"/>
              <w:ind w:left="0" w:right="0"/>
              <w:jc w:val="left"/>
              <w:rPr>
                <w:rFonts w:hint="default" w:ascii="宋体" w:hAnsi="宋体" w:cs="宋体"/>
                <w:color w:val="auto"/>
                <w:szCs w:val="21"/>
                <w:highlight w:val="none"/>
              </w:rPr>
            </w:pPr>
          </w:p>
        </w:tc>
        <w:tc>
          <w:tcPr>
            <w:tcW w:w="2926" w:type="dxa"/>
            <w:tcMar>
              <w:top w:w="0" w:type="dxa"/>
              <w:left w:w="105" w:type="dxa"/>
              <w:bottom w:w="0" w:type="dxa"/>
              <w:right w:w="105" w:type="dxa"/>
            </w:tcMar>
            <w:vAlign w:val="center"/>
          </w:tcPr>
          <w:p>
            <w:pPr>
              <w:keepNext w:val="0"/>
              <w:keepLines w:val="0"/>
              <w:widowControl/>
              <w:suppressLineNumbers w:val="0"/>
              <w:spacing w:before="0" w:beforeAutospacing="0" w:after="0" w:afterAutospacing="0"/>
              <w:ind w:left="0" w:right="0"/>
              <w:jc w:val="left"/>
              <w:rPr>
                <w:rFonts w:hint="default" w:ascii="宋体" w:hAnsi="宋体" w:cs="宋体"/>
                <w:color w:val="auto"/>
                <w:szCs w:val="21"/>
                <w:highlight w:val="none"/>
              </w:rPr>
            </w:pPr>
          </w:p>
        </w:tc>
        <w:tc>
          <w:tcPr>
            <w:tcW w:w="2630" w:type="dxa"/>
            <w:tcMar>
              <w:top w:w="0" w:type="dxa"/>
              <w:left w:w="105" w:type="dxa"/>
              <w:bottom w:w="0" w:type="dxa"/>
              <w:right w:w="105" w:type="dxa"/>
            </w:tcMar>
            <w:vAlign w:val="center"/>
          </w:tcPr>
          <w:p>
            <w:pPr>
              <w:keepNext w:val="0"/>
              <w:keepLines w:val="0"/>
              <w:widowControl/>
              <w:suppressLineNumbers w:val="0"/>
              <w:spacing w:before="0" w:beforeAutospacing="0" w:after="0" w:afterAutospacing="0"/>
              <w:ind w:left="0" w:right="0"/>
              <w:jc w:val="left"/>
              <w:rPr>
                <w:rFonts w:hint="default" w:ascii="宋体" w:hAnsi="宋体" w:cs="宋体"/>
                <w:color w:val="auto"/>
                <w:szCs w:val="21"/>
                <w:highlight w:val="none"/>
              </w:rPr>
            </w:pPr>
          </w:p>
        </w:tc>
        <w:tc>
          <w:tcPr>
            <w:tcW w:w="1453" w:type="dxa"/>
            <w:tcMar>
              <w:top w:w="0" w:type="dxa"/>
              <w:left w:w="105" w:type="dxa"/>
              <w:bottom w:w="0" w:type="dxa"/>
              <w:right w:w="105" w:type="dxa"/>
            </w:tcMar>
            <w:vAlign w:val="center"/>
          </w:tcPr>
          <w:p>
            <w:pPr>
              <w:keepNext w:val="0"/>
              <w:keepLines w:val="0"/>
              <w:widowControl/>
              <w:suppressLineNumbers w:val="0"/>
              <w:spacing w:before="0" w:beforeAutospacing="0" w:after="0" w:afterAutospacing="0"/>
              <w:ind w:left="0" w:right="0"/>
              <w:jc w:val="left"/>
              <w:rPr>
                <w:rFonts w:hint="default" w:ascii="宋体" w:hAnsi="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24" w:hRule="atLeast"/>
          <w:tblCellSpacing w:w="15" w:type="dxa"/>
        </w:trPr>
        <w:tc>
          <w:tcPr>
            <w:tcW w:w="864" w:type="dxa"/>
            <w:tcMar>
              <w:top w:w="0" w:type="dxa"/>
              <w:left w:w="105" w:type="dxa"/>
              <w:bottom w:w="0" w:type="dxa"/>
              <w:right w:w="105" w:type="dxa"/>
            </w:tcMar>
            <w:vAlign w:val="center"/>
          </w:tcPr>
          <w:p>
            <w:pPr>
              <w:keepNext w:val="0"/>
              <w:keepLines w:val="0"/>
              <w:widowControl/>
              <w:suppressLineNumbers w:val="0"/>
              <w:spacing w:before="0" w:beforeAutospacing="0" w:after="0" w:afterAutospacing="0"/>
              <w:ind w:left="0" w:right="0"/>
              <w:jc w:val="left"/>
              <w:rPr>
                <w:rFonts w:hint="default" w:ascii="宋体" w:hAnsi="宋体" w:cs="宋体"/>
                <w:color w:val="auto"/>
                <w:szCs w:val="21"/>
                <w:highlight w:val="none"/>
              </w:rPr>
            </w:pPr>
          </w:p>
        </w:tc>
        <w:tc>
          <w:tcPr>
            <w:tcW w:w="1747" w:type="dxa"/>
            <w:tcMar>
              <w:top w:w="0" w:type="dxa"/>
              <w:left w:w="105" w:type="dxa"/>
              <w:bottom w:w="0" w:type="dxa"/>
              <w:right w:w="105" w:type="dxa"/>
            </w:tcMar>
            <w:vAlign w:val="center"/>
          </w:tcPr>
          <w:p>
            <w:pPr>
              <w:keepNext w:val="0"/>
              <w:keepLines w:val="0"/>
              <w:widowControl/>
              <w:suppressLineNumbers w:val="0"/>
              <w:spacing w:before="0" w:beforeAutospacing="0" w:after="0" w:afterAutospacing="0"/>
              <w:ind w:left="0" w:right="0"/>
              <w:jc w:val="left"/>
              <w:rPr>
                <w:rFonts w:hint="default" w:ascii="宋体" w:hAnsi="宋体" w:cs="宋体"/>
                <w:color w:val="auto"/>
                <w:szCs w:val="21"/>
                <w:highlight w:val="none"/>
              </w:rPr>
            </w:pPr>
          </w:p>
        </w:tc>
        <w:tc>
          <w:tcPr>
            <w:tcW w:w="2926" w:type="dxa"/>
            <w:tcMar>
              <w:top w:w="0" w:type="dxa"/>
              <w:left w:w="105" w:type="dxa"/>
              <w:bottom w:w="0" w:type="dxa"/>
              <w:right w:w="105" w:type="dxa"/>
            </w:tcMar>
            <w:vAlign w:val="center"/>
          </w:tcPr>
          <w:p>
            <w:pPr>
              <w:keepNext w:val="0"/>
              <w:keepLines w:val="0"/>
              <w:widowControl/>
              <w:suppressLineNumbers w:val="0"/>
              <w:spacing w:before="0" w:beforeAutospacing="0" w:after="0" w:afterAutospacing="0"/>
              <w:ind w:left="0" w:right="0"/>
              <w:jc w:val="left"/>
              <w:rPr>
                <w:rFonts w:hint="default" w:ascii="宋体" w:hAnsi="宋体" w:cs="宋体"/>
                <w:color w:val="auto"/>
                <w:szCs w:val="21"/>
                <w:highlight w:val="none"/>
              </w:rPr>
            </w:pPr>
          </w:p>
        </w:tc>
        <w:tc>
          <w:tcPr>
            <w:tcW w:w="2630" w:type="dxa"/>
            <w:tcMar>
              <w:top w:w="0" w:type="dxa"/>
              <w:left w:w="105" w:type="dxa"/>
              <w:bottom w:w="0" w:type="dxa"/>
              <w:right w:w="105" w:type="dxa"/>
            </w:tcMar>
            <w:vAlign w:val="center"/>
          </w:tcPr>
          <w:p>
            <w:pPr>
              <w:keepNext w:val="0"/>
              <w:keepLines w:val="0"/>
              <w:widowControl/>
              <w:suppressLineNumbers w:val="0"/>
              <w:spacing w:before="0" w:beforeAutospacing="0" w:after="0" w:afterAutospacing="0"/>
              <w:ind w:left="0" w:right="0"/>
              <w:jc w:val="left"/>
              <w:rPr>
                <w:rFonts w:hint="default" w:ascii="宋体" w:hAnsi="宋体" w:cs="宋体"/>
                <w:color w:val="auto"/>
                <w:szCs w:val="21"/>
                <w:highlight w:val="none"/>
              </w:rPr>
            </w:pPr>
          </w:p>
        </w:tc>
        <w:tc>
          <w:tcPr>
            <w:tcW w:w="1453" w:type="dxa"/>
            <w:tcMar>
              <w:top w:w="0" w:type="dxa"/>
              <w:left w:w="105" w:type="dxa"/>
              <w:bottom w:w="0" w:type="dxa"/>
              <w:right w:w="105" w:type="dxa"/>
            </w:tcMar>
            <w:vAlign w:val="center"/>
          </w:tcPr>
          <w:p>
            <w:pPr>
              <w:keepNext w:val="0"/>
              <w:keepLines w:val="0"/>
              <w:widowControl/>
              <w:suppressLineNumbers w:val="0"/>
              <w:spacing w:before="0" w:beforeAutospacing="0" w:after="0" w:afterAutospacing="0"/>
              <w:ind w:left="0" w:right="0"/>
              <w:jc w:val="left"/>
              <w:rPr>
                <w:rFonts w:hint="default" w:ascii="宋体" w:hAnsi="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24" w:hRule="atLeast"/>
          <w:tblCellSpacing w:w="15" w:type="dxa"/>
        </w:trPr>
        <w:tc>
          <w:tcPr>
            <w:tcW w:w="864" w:type="dxa"/>
            <w:tcMar>
              <w:top w:w="0" w:type="dxa"/>
              <w:left w:w="105" w:type="dxa"/>
              <w:bottom w:w="0" w:type="dxa"/>
              <w:right w:w="105" w:type="dxa"/>
            </w:tcMar>
            <w:vAlign w:val="center"/>
          </w:tcPr>
          <w:p>
            <w:pPr>
              <w:keepNext w:val="0"/>
              <w:keepLines w:val="0"/>
              <w:widowControl/>
              <w:suppressLineNumbers w:val="0"/>
              <w:spacing w:before="0" w:beforeAutospacing="0" w:after="0" w:afterAutospacing="0"/>
              <w:ind w:left="0" w:right="0"/>
              <w:jc w:val="left"/>
              <w:rPr>
                <w:rFonts w:hint="default" w:ascii="宋体" w:hAnsi="宋体" w:cs="宋体"/>
                <w:color w:val="auto"/>
                <w:szCs w:val="21"/>
                <w:highlight w:val="none"/>
              </w:rPr>
            </w:pPr>
          </w:p>
        </w:tc>
        <w:tc>
          <w:tcPr>
            <w:tcW w:w="1747" w:type="dxa"/>
            <w:tcMar>
              <w:top w:w="0" w:type="dxa"/>
              <w:left w:w="105" w:type="dxa"/>
              <w:bottom w:w="0" w:type="dxa"/>
              <w:right w:w="105" w:type="dxa"/>
            </w:tcMar>
            <w:vAlign w:val="center"/>
          </w:tcPr>
          <w:p>
            <w:pPr>
              <w:keepNext w:val="0"/>
              <w:keepLines w:val="0"/>
              <w:widowControl/>
              <w:suppressLineNumbers w:val="0"/>
              <w:spacing w:before="0" w:beforeAutospacing="0" w:after="0" w:afterAutospacing="0"/>
              <w:ind w:left="0" w:right="0"/>
              <w:jc w:val="left"/>
              <w:rPr>
                <w:rFonts w:hint="default" w:ascii="宋体" w:hAnsi="宋体" w:cs="宋体"/>
                <w:color w:val="auto"/>
                <w:szCs w:val="21"/>
                <w:highlight w:val="none"/>
              </w:rPr>
            </w:pPr>
          </w:p>
        </w:tc>
        <w:tc>
          <w:tcPr>
            <w:tcW w:w="2926" w:type="dxa"/>
            <w:tcMar>
              <w:top w:w="0" w:type="dxa"/>
              <w:left w:w="105" w:type="dxa"/>
              <w:bottom w:w="0" w:type="dxa"/>
              <w:right w:w="105" w:type="dxa"/>
            </w:tcMar>
            <w:vAlign w:val="center"/>
          </w:tcPr>
          <w:p>
            <w:pPr>
              <w:keepNext w:val="0"/>
              <w:keepLines w:val="0"/>
              <w:widowControl/>
              <w:suppressLineNumbers w:val="0"/>
              <w:spacing w:before="0" w:beforeAutospacing="0" w:after="0" w:afterAutospacing="0"/>
              <w:ind w:left="0" w:right="0"/>
              <w:jc w:val="left"/>
              <w:rPr>
                <w:rFonts w:hint="default" w:ascii="宋体" w:hAnsi="宋体" w:cs="宋体"/>
                <w:color w:val="auto"/>
                <w:szCs w:val="21"/>
                <w:highlight w:val="none"/>
              </w:rPr>
            </w:pPr>
          </w:p>
        </w:tc>
        <w:tc>
          <w:tcPr>
            <w:tcW w:w="2630" w:type="dxa"/>
            <w:tcMar>
              <w:top w:w="0" w:type="dxa"/>
              <w:left w:w="105" w:type="dxa"/>
              <w:bottom w:w="0" w:type="dxa"/>
              <w:right w:w="105" w:type="dxa"/>
            </w:tcMar>
            <w:vAlign w:val="center"/>
          </w:tcPr>
          <w:p>
            <w:pPr>
              <w:keepNext w:val="0"/>
              <w:keepLines w:val="0"/>
              <w:widowControl/>
              <w:suppressLineNumbers w:val="0"/>
              <w:spacing w:before="0" w:beforeAutospacing="0" w:after="0" w:afterAutospacing="0"/>
              <w:ind w:left="0" w:right="0"/>
              <w:jc w:val="left"/>
              <w:rPr>
                <w:rFonts w:hint="default" w:ascii="宋体" w:hAnsi="宋体" w:cs="宋体"/>
                <w:color w:val="auto"/>
                <w:szCs w:val="21"/>
                <w:highlight w:val="none"/>
              </w:rPr>
            </w:pPr>
          </w:p>
        </w:tc>
        <w:tc>
          <w:tcPr>
            <w:tcW w:w="1453" w:type="dxa"/>
            <w:tcMar>
              <w:top w:w="0" w:type="dxa"/>
              <w:left w:w="105" w:type="dxa"/>
              <w:bottom w:w="0" w:type="dxa"/>
              <w:right w:w="105" w:type="dxa"/>
            </w:tcMar>
            <w:vAlign w:val="center"/>
          </w:tcPr>
          <w:p>
            <w:pPr>
              <w:keepNext w:val="0"/>
              <w:keepLines w:val="0"/>
              <w:widowControl/>
              <w:suppressLineNumbers w:val="0"/>
              <w:spacing w:before="0" w:beforeAutospacing="0" w:after="0" w:afterAutospacing="0"/>
              <w:ind w:left="0" w:right="0"/>
              <w:jc w:val="left"/>
              <w:rPr>
                <w:rFonts w:hint="default" w:ascii="宋体" w:hAnsi="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24" w:hRule="atLeast"/>
          <w:tblCellSpacing w:w="15" w:type="dxa"/>
        </w:trPr>
        <w:tc>
          <w:tcPr>
            <w:tcW w:w="864" w:type="dxa"/>
            <w:tcMar>
              <w:top w:w="0" w:type="dxa"/>
              <w:left w:w="105" w:type="dxa"/>
              <w:bottom w:w="0" w:type="dxa"/>
              <w:right w:w="105" w:type="dxa"/>
            </w:tcMar>
            <w:vAlign w:val="center"/>
          </w:tcPr>
          <w:p>
            <w:pPr>
              <w:keepNext w:val="0"/>
              <w:keepLines w:val="0"/>
              <w:widowControl/>
              <w:suppressLineNumbers w:val="0"/>
              <w:spacing w:before="0" w:beforeAutospacing="0" w:after="0" w:afterAutospacing="0"/>
              <w:ind w:left="0" w:right="0"/>
              <w:jc w:val="left"/>
              <w:rPr>
                <w:rFonts w:hint="default" w:ascii="宋体" w:hAnsi="宋体" w:cs="宋体"/>
                <w:color w:val="auto"/>
                <w:szCs w:val="21"/>
                <w:highlight w:val="none"/>
              </w:rPr>
            </w:pPr>
          </w:p>
        </w:tc>
        <w:tc>
          <w:tcPr>
            <w:tcW w:w="1747" w:type="dxa"/>
            <w:tcMar>
              <w:top w:w="0" w:type="dxa"/>
              <w:left w:w="105" w:type="dxa"/>
              <w:bottom w:w="0" w:type="dxa"/>
              <w:right w:w="105" w:type="dxa"/>
            </w:tcMar>
            <w:vAlign w:val="center"/>
          </w:tcPr>
          <w:p>
            <w:pPr>
              <w:keepNext w:val="0"/>
              <w:keepLines w:val="0"/>
              <w:widowControl/>
              <w:suppressLineNumbers w:val="0"/>
              <w:spacing w:before="0" w:beforeAutospacing="0" w:after="0" w:afterAutospacing="0"/>
              <w:ind w:left="0" w:right="0"/>
              <w:jc w:val="left"/>
              <w:rPr>
                <w:rFonts w:hint="default" w:ascii="宋体" w:hAnsi="宋体" w:cs="宋体"/>
                <w:color w:val="auto"/>
                <w:szCs w:val="21"/>
                <w:highlight w:val="none"/>
              </w:rPr>
            </w:pPr>
          </w:p>
        </w:tc>
        <w:tc>
          <w:tcPr>
            <w:tcW w:w="2926" w:type="dxa"/>
            <w:tcMar>
              <w:top w:w="0" w:type="dxa"/>
              <w:left w:w="105" w:type="dxa"/>
              <w:bottom w:w="0" w:type="dxa"/>
              <w:right w:w="105" w:type="dxa"/>
            </w:tcMar>
            <w:vAlign w:val="center"/>
          </w:tcPr>
          <w:p>
            <w:pPr>
              <w:keepNext w:val="0"/>
              <w:keepLines w:val="0"/>
              <w:widowControl/>
              <w:suppressLineNumbers w:val="0"/>
              <w:spacing w:before="0" w:beforeAutospacing="0" w:after="0" w:afterAutospacing="0"/>
              <w:ind w:left="0" w:right="0"/>
              <w:jc w:val="left"/>
              <w:rPr>
                <w:rFonts w:hint="default" w:ascii="宋体" w:hAnsi="宋体" w:cs="宋体"/>
                <w:color w:val="auto"/>
                <w:szCs w:val="21"/>
                <w:highlight w:val="none"/>
              </w:rPr>
            </w:pPr>
          </w:p>
        </w:tc>
        <w:tc>
          <w:tcPr>
            <w:tcW w:w="2630" w:type="dxa"/>
            <w:tcMar>
              <w:top w:w="0" w:type="dxa"/>
              <w:left w:w="105" w:type="dxa"/>
              <w:bottom w:w="0" w:type="dxa"/>
              <w:right w:w="105" w:type="dxa"/>
            </w:tcMar>
            <w:vAlign w:val="center"/>
          </w:tcPr>
          <w:p>
            <w:pPr>
              <w:keepNext w:val="0"/>
              <w:keepLines w:val="0"/>
              <w:widowControl/>
              <w:suppressLineNumbers w:val="0"/>
              <w:spacing w:before="0" w:beforeAutospacing="0" w:after="0" w:afterAutospacing="0"/>
              <w:ind w:left="0" w:right="0"/>
              <w:jc w:val="left"/>
              <w:rPr>
                <w:rFonts w:hint="default" w:ascii="宋体" w:hAnsi="宋体" w:cs="宋体"/>
                <w:color w:val="auto"/>
                <w:szCs w:val="21"/>
                <w:highlight w:val="none"/>
              </w:rPr>
            </w:pPr>
          </w:p>
        </w:tc>
        <w:tc>
          <w:tcPr>
            <w:tcW w:w="1453" w:type="dxa"/>
            <w:tcMar>
              <w:top w:w="0" w:type="dxa"/>
              <w:left w:w="105" w:type="dxa"/>
              <w:bottom w:w="0" w:type="dxa"/>
              <w:right w:w="105" w:type="dxa"/>
            </w:tcMar>
            <w:vAlign w:val="center"/>
          </w:tcPr>
          <w:p>
            <w:pPr>
              <w:keepNext w:val="0"/>
              <w:keepLines w:val="0"/>
              <w:widowControl/>
              <w:suppressLineNumbers w:val="0"/>
              <w:spacing w:before="0" w:beforeAutospacing="0" w:after="0" w:afterAutospacing="0"/>
              <w:ind w:left="0" w:right="0"/>
              <w:jc w:val="left"/>
              <w:rPr>
                <w:rFonts w:hint="default" w:ascii="宋体" w:hAnsi="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24" w:hRule="atLeast"/>
          <w:tblCellSpacing w:w="15" w:type="dxa"/>
        </w:trPr>
        <w:tc>
          <w:tcPr>
            <w:tcW w:w="864" w:type="dxa"/>
            <w:tcMar>
              <w:top w:w="0" w:type="dxa"/>
              <w:left w:w="105" w:type="dxa"/>
              <w:bottom w:w="0" w:type="dxa"/>
              <w:right w:w="105" w:type="dxa"/>
            </w:tcMar>
            <w:vAlign w:val="center"/>
          </w:tcPr>
          <w:p>
            <w:pPr>
              <w:keepNext w:val="0"/>
              <w:keepLines w:val="0"/>
              <w:widowControl/>
              <w:suppressLineNumbers w:val="0"/>
              <w:spacing w:before="0" w:beforeAutospacing="0" w:after="0" w:afterAutospacing="0"/>
              <w:ind w:left="0" w:right="0"/>
              <w:jc w:val="left"/>
              <w:rPr>
                <w:rFonts w:hint="default" w:ascii="宋体" w:hAnsi="宋体" w:cs="宋体"/>
                <w:color w:val="auto"/>
                <w:szCs w:val="21"/>
                <w:highlight w:val="none"/>
              </w:rPr>
            </w:pPr>
          </w:p>
        </w:tc>
        <w:tc>
          <w:tcPr>
            <w:tcW w:w="1747" w:type="dxa"/>
            <w:tcMar>
              <w:top w:w="0" w:type="dxa"/>
              <w:left w:w="105" w:type="dxa"/>
              <w:bottom w:w="0" w:type="dxa"/>
              <w:right w:w="105" w:type="dxa"/>
            </w:tcMar>
            <w:vAlign w:val="center"/>
          </w:tcPr>
          <w:p>
            <w:pPr>
              <w:keepNext w:val="0"/>
              <w:keepLines w:val="0"/>
              <w:widowControl/>
              <w:suppressLineNumbers w:val="0"/>
              <w:spacing w:before="0" w:beforeAutospacing="0" w:after="0" w:afterAutospacing="0"/>
              <w:ind w:left="0" w:right="0"/>
              <w:jc w:val="left"/>
              <w:rPr>
                <w:rFonts w:hint="default" w:ascii="宋体" w:hAnsi="宋体" w:cs="宋体"/>
                <w:color w:val="auto"/>
                <w:szCs w:val="21"/>
                <w:highlight w:val="none"/>
              </w:rPr>
            </w:pPr>
          </w:p>
        </w:tc>
        <w:tc>
          <w:tcPr>
            <w:tcW w:w="2926" w:type="dxa"/>
            <w:tcMar>
              <w:top w:w="0" w:type="dxa"/>
              <w:left w:w="105" w:type="dxa"/>
              <w:bottom w:w="0" w:type="dxa"/>
              <w:right w:w="105" w:type="dxa"/>
            </w:tcMar>
            <w:vAlign w:val="center"/>
          </w:tcPr>
          <w:p>
            <w:pPr>
              <w:keepNext w:val="0"/>
              <w:keepLines w:val="0"/>
              <w:widowControl/>
              <w:suppressLineNumbers w:val="0"/>
              <w:spacing w:before="0" w:beforeAutospacing="0" w:after="0" w:afterAutospacing="0"/>
              <w:ind w:left="0" w:right="0"/>
              <w:jc w:val="left"/>
              <w:rPr>
                <w:rFonts w:hint="default" w:ascii="宋体" w:hAnsi="宋体" w:cs="宋体"/>
                <w:color w:val="auto"/>
                <w:szCs w:val="21"/>
                <w:highlight w:val="none"/>
              </w:rPr>
            </w:pPr>
          </w:p>
        </w:tc>
        <w:tc>
          <w:tcPr>
            <w:tcW w:w="2630" w:type="dxa"/>
            <w:tcMar>
              <w:top w:w="0" w:type="dxa"/>
              <w:left w:w="105" w:type="dxa"/>
              <w:bottom w:w="0" w:type="dxa"/>
              <w:right w:w="105" w:type="dxa"/>
            </w:tcMar>
            <w:vAlign w:val="center"/>
          </w:tcPr>
          <w:p>
            <w:pPr>
              <w:keepNext w:val="0"/>
              <w:keepLines w:val="0"/>
              <w:widowControl/>
              <w:suppressLineNumbers w:val="0"/>
              <w:spacing w:before="0" w:beforeAutospacing="0" w:after="0" w:afterAutospacing="0"/>
              <w:ind w:left="0" w:right="0"/>
              <w:jc w:val="left"/>
              <w:rPr>
                <w:rFonts w:hint="default" w:ascii="宋体" w:hAnsi="宋体" w:cs="宋体"/>
                <w:color w:val="auto"/>
                <w:szCs w:val="21"/>
                <w:highlight w:val="none"/>
              </w:rPr>
            </w:pPr>
          </w:p>
        </w:tc>
        <w:tc>
          <w:tcPr>
            <w:tcW w:w="1453" w:type="dxa"/>
            <w:tcMar>
              <w:top w:w="0" w:type="dxa"/>
              <w:left w:w="105" w:type="dxa"/>
              <w:bottom w:w="0" w:type="dxa"/>
              <w:right w:w="105" w:type="dxa"/>
            </w:tcMar>
            <w:vAlign w:val="center"/>
          </w:tcPr>
          <w:p>
            <w:pPr>
              <w:keepNext w:val="0"/>
              <w:keepLines w:val="0"/>
              <w:widowControl/>
              <w:suppressLineNumbers w:val="0"/>
              <w:spacing w:before="0" w:beforeAutospacing="0" w:after="0" w:afterAutospacing="0"/>
              <w:ind w:left="0" w:right="0"/>
              <w:jc w:val="left"/>
              <w:rPr>
                <w:rFonts w:hint="default" w:ascii="宋体" w:hAnsi="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24" w:hRule="atLeast"/>
          <w:tblCellSpacing w:w="15" w:type="dxa"/>
        </w:trPr>
        <w:tc>
          <w:tcPr>
            <w:tcW w:w="864" w:type="dxa"/>
            <w:tcMar>
              <w:top w:w="0" w:type="dxa"/>
              <w:left w:w="105" w:type="dxa"/>
              <w:bottom w:w="0" w:type="dxa"/>
              <w:right w:w="105" w:type="dxa"/>
            </w:tcMar>
            <w:vAlign w:val="center"/>
          </w:tcPr>
          <w:p>
            <w:pPr>
              <w:keepNext w:val="0"/>
              <w:keepLines w:val="0"/>
              <w:widowControl/>
              <w:suppressLineNumbers w:val="0"/>
              <w:spacing w:before="0" w:beforeAutospacing="0" w:after="0" w:afterAutospacing="0"/>
              <w:ind w:left="0" w:right="0"/>
              <w:jc w:val="left"/>
              <w:rPr>
                <w:rFonts w:hint="default" w:ascii="宋体" w:hAnsi="宋体" w:cs="宋体"/>
                <w:color w:val="auto"/>
                <w:szCs w:val="21"/>
                <w:highlight w:val="none"/>
              </w:rPr>
            </w:pPr>
          </w:p>
        </w:tc>
        <w:tc>
          <w:tcPr>
            <w:tcW w:w="1747" w:type="dxa"/>
            <w:tcMar>
              <w:top w:w="0" w:type="dxa"/>
              <w:left w:w="105" w:type="dxa"/>
              <w:bottom w:w="0" w:type="dxa"/>
              <w:right w:w="105" w:type="dxa"/>
            </w:tcMar>
            <w:vAlign w:val="center"/>
          </w:tcPr>
          <w:p>
            <w:pPr>
              <w:keepNext w:val="0"/>
              <w:keepLines w:val="0"/>
              <w:widowControl/>
              <w:suppressLineNumbers w:val="0"/>
              <w:spacing w:before="0" w:beforeAutospacing="0" w:after="0" w:afterAutospacing="0"/>
              <w:ind w:left="0" w:right="0"/>
              <w:jc w:val="left"/>
              <w:rPr>
                <w:rFonts w:hint="default" w:ascii="宋体" w:hAnsi="宋体" w:cs="宋体"/>
                <w:color w:val="auto"/>
                <w:szCs w:val="21"/>
                <w:highlight w:val="none"/>
              </w:rPr>
            </w:pPr>
          </w:p>
        </w:tc>
        <w:tc>
          <w:tcPr>
            <w:tcW w:w="2926" w:type="dxa"/>
            <w:tcMar>
              <w:top w:w="0" w:type="dxa"/>
              <w:left w:w="105" w:type="dxa"/>
              <w:bottom w:w="0" w:type="dxa"/>
              <w:right w:w="105" w:type="dxa"/>
            </w:tcMar>
            <w:vAlign w:val="center"/>
          </w:tcPr>
          <w:p>
            <w:pPr>
              <w:keepNext w:val="0"/>
              <w:keepLines w:val="0"/>
              <w:widowControl/>
              <w:suppressLineNumbers w:val="0"/>
              <w:spacing w:before="0" w:beforeAutospacing="0" w:after="0" w:afterAutospacing="0"/>
              <w:ind w:left="0" w:right="0"/>
              <w:jc w:val="left"/>
              <w:rPr>
                <w:rFonts w:hint="default" w:ascii="宋体" w:hAnsi="宋体" w:cs="宋体"/>
                <w:color w:val="auto"/>
                <w:szCs w:val="21"/>
                <w:highlight w:val="none"/>
              </w:rPr>
            </w:pPr>
          </w:p>
        </w:tc>
        <w:tc>
          <w:tcPr>
            <w:tcW w:w="2630" w:type="dxa"/>
            <w:tcMar>
              <w:top w:w="0" w:type="dxa"/>
              <w:left w:w="105" w:type="dxa"/>
              <w:bottom w:w="0" w:type="dxa"/>
              <w:right w:w="105" w:type="dxa"/>
            </w:tcMar>
            <w:vAlign w:val="center"/>
          </w:tcPr>
          <w:p>
            <w:pPr>
              <w:keepNext w:val="0"/>
              <w:keepLines w:val="0"/>
              <w:widowControl/>
              <w:suppressLineNumbers w:val="0"/>
              <w:spacing w:before="0" w:beforeAutospacing="0" w:after="0" w:afterAutospacing="0"/>
              <w:ind w:left="0" w:right="0"/>
              <w:jc w:val="left"/>
              <w:rPr>
                <w:rFonts w:hint="default" w:ascii="宋体" w:hAnsi="宋体" w:cs="宋体"/>
                <w:color w:val="auto"/>
                <w:szCs w:val="21"/>
                <w:highlight w:val="none"/>
              </w:rPr>
            </w:pPr>
          </w:p>
        </w:tc>
        <w:tc>
          <w:tcPr>
            <w:tcW w:w="1453" w:type="dxa"/>
            <w:tcMar>
              <w:top w:w="0" w:type="dxa"/>
              <w:left w:w="105" w:type="dxa"/>
              <w:bottom w:w="0" w:type="dxa"/>
              <w:right w:w="105" w:type="dxa"/>
            </w:tcMar>
            <w:vAlign w:val="center"/>
          </w:tcPr>
          <w:p>
            <w:pPr>
              <w:keepNext w:val="0"/>
              <w:keepLines w:val="0"/>
              <w:widowControl/>
              <w:suppressLineNumbers w:val="0"/>
              <w:spacing w:before="0" w:beforeAutospacing="0" w:after="0" w:afterAutospacing="0"/>
              <w:ind w:left="0" w:right="0"/>
              <w:jc w:val="left"/>
              <w:rPr>
                <w:rFonts w:hint="default" w:ascii="宋体" w:hAnsi="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79" w:hRule="atLeast"/>
          <w:tblCellSpacing w:w="15" w:type="dxa"/>
        </w:trPr>
        <w:tc>
          <w:tcPr>
            <w:tcW w:w="864" w:type="dxa"/>
            <w:tcMar>
              <w:top w:w="0" w:type="dxa"/>
              <w:left w:w="105" w:type="dxa"/>
              <w:bottom w:w="0" w:type="dxa"/>
              <w:right w:w="105" w:type="dxa"/>
            </w:tcMar>
            <w:vAlign w:val="center"/>
          </w:tcPr>
          <w:p>
            <w:pPr>
              <w:keepNext w:val="0"/>
              <w:keepLines w:val="0"/>
              <w:widowControl/>
              <w:suppressLineNumbers w:val="0"/>
              <w:spacing w:before="0" w:beforeAutospacing="0" w:after="0" w:afterAutospacing="0"/>
              <w:ind w:left="0" w:right="0"/>
              <w:jc w:val="left"/>
              <w:rPr>
                <w:rFonts w:hint="default" w:ascii="宋体" w:hAnsi="宋体" w:cs="宋体"/>
                <w:color w:val="auto"/>
                <w:szCs w:val="21"/>
                <w:highlight w:val="none"/>
              </w:rPr>
            </w:pPr>
          </w:p>
        </w:tc>
        <w:tc>
          <w:tcPr>
            <w:tcW w:w="1747" w:type="dxa"/>
            <w:tcMar>
              <w:top w:w="0" w:type="dxa"/>
              <w:left w:w="105" w:type="dxa"/>
              <w:bottom w:w="0" w:type="dxa"/>
              <w:right w:w="105" w:type="dxa"/>
            </w:tcMar>
            <w:vAlign w:val="center"/>
          </w:tcPr>
          <w:p>
            <w:pPr>
              <w:keepNext w:val="0"/>
              <w:keepLines w:val="0"/>
              <w:widowControl/>
              <w:suppressLineNumbers w:val="0"/>
              <w:spacing w:before="0" w:beforeAutospacing="0" w:after="0" w:afterAutospacing="0"/>
              <w:ind w:left="0" w:right="0"/>
              <w:jc w:val="left"/>
              <w:rPr>
                <w:rFonts w:hint="default" w:ascii="宋体" w:hAnsi="宋体" w:cs="宋体"/>
                <w:color w:val="auto"/>
                <w:szCs w:val="21"/>
                <w:highlight w:val="none"/>
              </w:rPr>
            </w:pPr>
          </w:p>
        </w:tc>
        <w:tc>
          <w:tcPr>
            <w:tcW w:w="2926" w:type="dxa"/>
            <w:tcMar>
              <w:top w:w="0" w:type="dxa"/>
              <w:left w:w="105" w:type="dxa"/>
              <w:bottom w:w="0" w:type="dxa"/>
              <w:right w:w="105" w:type="dxa"/>
            </w:tcMar>
            <w:vAlign w:val="center"/>
          </w:tcPr>
          <w:p>
            <w:pPr>
              <w:keepNext w:val="0"/>
              <w:keepLines w:val="0"/>
              <w:widowControl/>
              <w:suppressLineNumbers w:val="0"/>
              <w:spacing w:before="0" w:beforeAutospacing="0" w:after="0" w:afterAutospacing="0"/>
              <w:ind w:left="0" w:right="0"/>
              <w:jc w:val="left"/>
              <w:rPr>
                <w:rFonts w:hint="default" w:ascii="宋体" w:hAnsi="宋体" w:cs="宋体"/>
                <w:color w:val="auto"/>
                <w:szCs w:val="21"/>
                <w:highlight w:val="none"/>
              </w:rPr>
            </w:pPr>
          </w:p>
        </w:tc>
        <w:tc>
          <w:tcPr>
            <w:tcW w:w="2630" w:type="dxa"/>
            <w:tcMar>
              <w:top w:w="0" w:type="dxa"/>
              <w:left w:w="105" w:type="dxa"/>
              <w:bottom w:w="0" w:type="dxa"/>
              <w:right w:w="105" w:type="dxa"/>
            </w:tcMar>
            <w:vAlign w:val="center"/>
          </w:tcPr>
          <w:p>
            <w:pPr>
              <w:keepNext w:val="0"/>
              <w:keepLines w:val="0"/>
              <w:widowControl/>
              <w:suppressLineNumbers w:val="0"/>
              <w:spacing w:before="0" w:beforeAutospacing="0" w:after="0" w:afterAutospacing="0"/>
              <w:ind w:left="0" w:right="0"/>
              <w:jc w:val="left"/>
              <w:rPr>
                <w:rFonts w:hint="default" w:ascii="宋体" w:hAnsi="宋体" w:cs="宋体"/>
                <w:color w:val="auto"/>
                <w:szCs w:val="21"/>
                <w:highlight w:val="none"/>
              </w:rPr>
            </w:pPr>
          </w:p>
        </w:tc>
        <w:tc>
          <w:tcPr>
            <w:tcW w:w="1453" w:type="dxa"/>
            <w:tcMar>
              <w:top w:w="0" w:type="dxa"/>
              <w:left w:w="105" w:type="dxa"/>
              <w:bottom w:w="0" w:type="dxa"/>
              <w:right w:w="105" w:type="dxa"/>
            </w:tcMar>
            <w:vAlign w:val="center"/>
          </w:tcPr>
          <w:p>
            <w:pPr>
              <w:keepNext w:val="0"/>
              <w:keepLines w:val="0"/>
              <w:widowControl/>
              <w:suppressLineNumbers w:val="0"/>
              <w:spacing w:before="0" w:beforeAutospacing="0" w:after="0" w:afterAutospacing="0"/>
              <w:ind w:left="0" w:right="0"/>
              <w:jc w:val="left"/>
              <w:rPr>
                <w:rFonts w:hint="default" w:ascii="宋体" w:hAnsi="宋体" w:cs="宋体"/>
                <w:color w:val="auto"/>
                <w:szCs w:val="21"/>
                <w:highlight w:val="none"/>
              </w:rPr>
            </w:pPr>
          </w:p>
        </w:tc>
      </w:tr>
    </w:tbl>
    <w:p>
      <w:pPr>
        <w:pStyle w:val="12"/>
        <w:widowControl/>
        <w:spacing w:before="75" w:beforeAutospacing="0" w:after="75" w:afterAutospacing="0" w:line="375" w:lineRule="atLeast"/>
        <w:rPr>
          <w:rFonts w:ascii="宋体" w:hAnsi="宋体" w:cs="宋体"/>
          <w:color w:val="auto"/>
          <w:sz w:val="21"/>
          <w:szCs w:val="21"/>
          <w:highlight w:val="none"/>
        </w:rPr>
      </w:pPr>
      <w:r>
        <w:rPr>
          <w:rStyle w:val="18"/>
          <w:rFonts w:hint="eastAsia" w:ascii="宋体" w:hAnsi="宋体" w:cs="宋体"/>
          <w:color w:val="auto"/>
          <w:sz w:val="21"/>
          <w:szCs w:val="21"/>
          <w:highlight w:val="none"/>
        </w:rPr>
        <w:t>注：（1）竞争性磋商文件（含技术和服务要求等）规定的各相关条款要求，如果供应商在响应文件中没有以书面方式对竞争性磋商文件规定的各项要求和条款提出不满足或不响应或负偏离，则视为供应商能够完全理解并满足本竞争性磋商文件规定的各相关条款要求。如有不满足或不响应或负偏离，不管是多么微小，供应商都应在响应文件中按上表格式加以如实详细说明，否则，供应商成交后才提出或者被采购人发现的任何负偏离或不响应或不满足均视为成交供应商违约，按供应商虚假承诺骗取成交处理，采购人将取消其成交供应商资格，其磋商保证金（如果未签订合同）将不予退还，给采购人和采购代理机构造成损失的，还必须进行赔偿并负相关责任。</w:t>
      </w:r>
    </w:p>
    <w:p>
      <w:pPr>
        <w:pStyle w:val="12"/>
        <w:widowControl/>
        <w:spacing w:before="75" w:beforeAutospacing="0" w:after="75" w:afterAutospacing="0" w:line="375" w:lineRule="atLeast"/>
        <w:rPr>
          <w:rFonts w:ascii="宋体" w:hAnsi="宋体" w:cs="宋体"/>
          <w:color w:val="auto"/>
          <w:sz w:val="21"/>
          <w:szCs w:val="21"/>
          <w:highlight w:val="none"/>
        </w:rPr>
      </w:pPr>
      <w:r>
        <w:rPr>
          <w:rStyle w:val="18"/>
          <w:rFonts w:hint="eastAsia" w:ascii="宋体" w:hAnsi="宋体" w:cs="宋体"/>
          <w:color w:val="auto"/>
          <w:sz w:val="21"/>
          <w:szCs w:val="21"/>
          <w:highlight w:val="none"/>
        </w:rPr>
        <w:t>（2）磋商文件不能详细列明采购标的的技术、服务要求，需经磋商由供应商提供最终设计方案或解决方案的；或者供应商需要说明的内容需要通过图片、视频等特殊表达；无法适用上表格式文字说明的，则供应商可在本表中进行相应说明和页码索引，再另页具体提交应答。</w:t>
      </w:r>
    </w:p>
    <w:p>
      <w:pPr>
        <w:pStyle w:val="12"/>
        <w:widowControl/>
        <w:spacing w:before="75" w:beforeAutospacing="0" w:after="75" w:afterAutospacing="0" w:line="375" w:lineRule="atLeast"/>
        <w:rPr>
          <w:rFonts w:ascii="宋体" w:hAnsi="宋体" w:cs="宋体"/>
          <w:color w:val="auto"/>
          <w:sz w:val="21"/>
          <w:szCs w:val="21"/>
          <w:highlight w:val="none"/>
        </w:rPr>
      </w:pPr>
      <w:r>
        <w:rPr>
          <w:rFonts w:hint="eastAsia" w:ascii="宋体" w:hAnsi="宋体" w:cs="宋体"/>
          <w:color w:val="auto"/>
          <w:sz w:val="21"/>
          <w:szCs w:val="21"/>
          <w:highlight w:val="none"/>
        </w:rPr>
        <w:t> 供应商代表签字： _________________</w:t>
      </w:r>
    </w:p>
    <w:p>
      <w:pPr>
        <w:pStyle w:val="12"/>
        <w:widowControl/>
        <w:spacing w:before="75" w:beforeAutospacing="0" w:after="75" w:afterAutospacing="0"/>
        <w:jc w:val="center"/>
        <w:rPr>
          <w:rFonts w:ascii="宋体" w:hAnsi="宋体" w:cs="宋体"/>
          <w:color w:val="auto"/>
          <w:sz w:val="21"/>
          <w:szCs w:val="21"/>
          <w:highlight w:val="none"/>
        </w:rPr>
      </w:pPr>
      <w:r>
        <w:rPr>
          <w:rFonts w:hint="eastAsia" w:ascii="宋体" w:hAnsi="宋体" w:cs="宋体"/>
          <w:color w:val="auto"/>
          <w:sz w:val="21"/>
          <w:szCs w:val="21"/>
          <w:highlight w:val="none"/>
        </w:rPr>
        <w:br w:type="page"/>
      </w:r>
      <w:r>
        <w:rPr>
          <w:rFonts w:hint="eastAsia" w:ascii="宋体" w:hAnsi="宋体" w:cs="宋体"/>
          <w:b/>
          <w:bCs/>
          <w:color w:val="auto"/>
          <w:sz w:val="21"/>
          <w:szCs w:val="21"/>
          <w:highlight w:val="none"/>
        </w:rPr>
        <w:t>附件5-2   </w:t>
      </w:r>
      <w:r>
        <w:rPr>
          <w:rStyle w:val="18"/>
          <w:rFonts w:hint="eastAsia" w:ascii="宋体" w:hAnsi="宋体" w:cs="宋体"/>
          <w:bCs/>
          <w:color w:val="auto"/>
          <w:sz w:val="21"/>
          <w:szCs w:val="21"/>
          <w:highlight w:val="none"/>
        </w:rPr>
        <w:t>商务条件和其它事项响应表</w:t>
      </w:r>
    </w:p>
    <w:p>
      <w:pPr>
        <w:pStyle w:val="12"/>
        <w:widowControl/>
        <w:spacing w:before="75" w:beforeAutospacing="0" w:after="75" w:afterAutospacing="0" w:line="375" w:lineRule="atLeast"/>
        <w:rPr>
          <w:rFonts w:ascii="宋体" w:hAnsi="宋体" w:cs="宋体"/>
          <w:color w:val="auto"/>
          <w:sz w:val="21"/>
          <w:szCs w:val="21"/>
          <w:highlight w:val="none"/>
        </w:rPr>
      </w:pPr>
      <w:r>
        <w:rPr>
          <w:rFonts w:hint="eastAsia" w:ascii="宋体" w:hAnsi="宋体" w:cs="宋体"/>
          <w:color w:val="auto"/>
          <w:sz w:val="21"/>
          <w:szCs w:val="21"/>
          <w:highlight w:val="none"/>
        </w:rPr>
        <w:t>供应商名称：</w:t>
      </w:r>
      <w:r>
        <w:rPr>
          <w:rFonts w:hint="eastAsia" w:ascii="宋体" w:hAnsi="宋体" w:cs="宋体"/>
          <w:color w:val="auto"/>
          <w:sz w:val="21"/>
          <w:szCs w:val="21"/>
          <w:highlight w:val="none"/>
          <w:u w:val="single"/>
        </w:rPr>
        <w:t> （全称加盖单位公章）</w:t>
      </w:r>
      <w:r>
        <w:rPr>
          <w:rFonts w:hint="eastAsia" w:ascii="宋体" w:hAnsi="宋体" w:cs="宋体"/>
          <w:color w:val="auto"/>
          <w:sz w:val="21"/>
          <w:szCs w:val="21"/>
          <w:highlight w:val="none"/>
        </w:rPr>
        <w:t>  项目编号∶</w:t>
      </w:r>
      <w:r>
        <w:rPr>
          <w:rFonts w:hint="eastAsia" w:ascii="宋体" w:hAnsi="宋体" w:cs="宋体"/>
          <w:color w:val="auto"/>
          <w:sz w:val="21"/>
          <w:szCs w:val="21"/>
          <w:highlight w:val="none"/>
          <w:u w:val="single"/>
        </w:rPr>
        <w:t>       </w:t>
      </w:r>
    </w:p>
    <w:tbl>
      <w:tblPr>
        <w:tblStyle w:val="15"/>
        <w:tblW w:w="0" w:type="auto"/>
        <w:tblCellSpacing w:w="15" w:type="dxa"/>
        <w:tblInd w:w="-3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909"/>
        <w:gridCol w:w="1777"/>
        <w:gridCol w:w="2956"/>
        <w:gridCol w:w="2661"/>
        <w:gridCol w:w="14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914" w:hRule="atLeast"/>
          <w:tblCellSpacing w:w="15" w:type="dxa"/>
        </w:trPr>
        <w:tc>
          <w:tcPr>
            <w:tcW w:w="864" w:type="dxa"/>
            <w:tcMar>
              <w:top w:w="0" w:type="dxa"/>
              <w:left w:w="105" w:type="dxa"/>
              <w:bottom w:w="0" w:type="dxa"/>
              <w:right w:w="105" w:type="dxa"/>
            </w:tcMar>
            <w:vAlign w:val="center"/>
          </w:tcPr>
          <w:p>
            <w:pPr>
              <w:pStyle w:val="12"/>
              <w:keepNext w:val="0"/>
              <w:keepLines w:val="0"/>
              <w:widowControl/>
              <w:suppressLineNumbers w:val="0"/>
              <w:spacing w:before="0" w:beforeAutospacing="0" w:after="0" w:afterAutospacing="0" w:line="375" w:lineRule="atLeast"/>
              <w:ind w:left="0" w:right="0"/>
              <w:jc w:val="center"/>
              <w:rPr>
                <w:rFonts w:hint="default" w:ascii="宋体" w:hAnsi="宋体" w:cs="宋体"/>
                <w:color w:val="auto"/>
                <w:sz w:val="21"/>
                <w:szCs w:val="21"/>
                <w:highlight w:val="none"/>
              </w:rPr>
            </w:pPr>
            <w:r>
              <w:rPr>
                <w:rFonts w:hint="eastAsia" w:ascii="宋体" w:hAnsi="宋体" w:cs="宋体"/>
                <w:color w:val="auto"/>
                <w:sz w:val="21"/>
                <w:szCs w:val="21"/>
                <w:highlight w:val="none"/>
              </w:rPr>
              <w:t>采购包</w:t>
            </w:r>
          </w:p>
        </w:tc>
        <w:tc>
          <w:tcPr>
            <w:tcW w:w="1747" w:type="dxa"/>
            <w:tcMar>
              <w:top w:w="0" w:type="dxa"/>
              <w:left w:w="105" w:type="dxa"/>
              <w:bottom w:w="0" w:type="dxa"/>
              <w:right w:w="105" w:type="dxa"/>
            </w:tcMar>
            <w:vAlign w:val="center"/>
          </w:tcPr>
          <w:p>
            <w:pPr>
              <w:pStyle w:val="12"/>
              <w:keepNext w:val="0"/>
              <w:keepLines w:val="0"/>
              <w:widowControl/>
              <w:suppressLineNumbers w:val="0"/>
              <w:spacing w:before="0" w:beforeAutospacing="0" w:after="0" w:afterAutospacing="0" w:line="375" w:lineRule="atLeast"/>
              <w:ind w:left="0" w:right="0"/>
              <w:jc w:val="center"/>
              <w:rPr>
                <w:rFonts w:hint="default" w:ascii="宋体" w:hAnsi="宋体" w:cs="宋体"/>
                <w:color w:val="auto"/>
                <w:sz w:val="21"/>
                <w:szCs w:val="21"/>
                <w:highlight w:val="none"/>
              </w:rPr>
            </w:pPr>
            <w:r>
              <w:rPr>
                <w:rFonts w:hint="eastAsia" w:ascii="宋体" w:hAnsi="宋体" w:cs="宋体"/>
                <w:color w:val="auto"/>
                <w:sz w:val="21"/>
                <w:szCs w:val="21"/>
                <w:highlight w:val="none"/>
              </w:rPr>
              <w:t>章节条目号</w:t>
            </w:r>
          </w:p>
        </w:tc>
        <w:tc>
          <w:tcPr>
            <w:tcW w:w="2926" w:type="dxa"/>
            <w:tcMar>
              <w:top w:w="0" w:type="dxa"/>
              <w:left w:w="105" w:type="dxa"/>
              <w:bottom w:w="0" w:type="dxa"/>
              <w:right w:w="105" w:type="dxa"/>
            </w:tcMar>
            <w:vAlign w:val="center"/>
          </w:tcPr>
          <w:p>
            <w:pPr>
              <w:pStyle w:val="12"/>
              <w:keepNext w:val="0"/>
              <w:keepLines w:val="0"/>
              <w:widowControl/>
              <w:suppressLineNumbers w:val="0"/>
              <w:spacing w:before="0" w:beforeAutospacing="0" w:after="0" w:afterAutospacing="0" w:line="375" w:lineRule="atLeast"/>
              <w:ind w:left="0" w:right="0"/>
              <w:jc w:val="center"/>
              <w:rPr>
                <w:rFonts w:hint="default" w:ascii="宋体" w:hAnsi="宋体" w:cs="宋体"/>
                <w:color w:val="auto"/>
                <w:sz w:val="21"/>
                <w:szCs w:val="21"/>
                <w:highlight w:val="none"/>
              </w:rPr>
            </w:pPr>
            <w:r>
              <w:rPr>
                <w:rFonts w:hint="eastAsia" w:ascii="宋体" w:hAnsi="宋体" w:cs="宋体"/>
                <w:color w:val="auto"/>
                <w:sz w:val="21"/>
                <w:szCs w:val="21"/>
                <w:highlight w:val="none"/>
              </w:rPr>
              <w:t>竞争性磋商文件规定的商务条件要求</w:t>
            </w:r>
          </w:p>
        </w:tc>
        <w:tc>
          <w:tcPr>
            <w:tcW w:w="2631" w:type="dxa"/>
            <w:tcMar>
              <w:top w:w="0" w:type="dxa"/>
              <w:left w:w="105" w:type="dxa"/>
              <w:bottom w:w="0" w:type="dxa"/>
              <w:right w:w="105" w:type="dxa"/>
            </w:tcMar>
            <w:vAlign w:val="center"/>
          </w:tcPr>
          <w:p>
            <w:pPr>
              <w:pStyle w:val="12"/>
              <w:keepNext w:val="0"/>
              <w:keepLines w:val="0"/>
              <w:widowControl/>
              <w:suppressLineNumbers w:val="0"/>
              <w:spacing w:before="0" w:beforeAutospacing="0" w:after="0" w:afterAutospacing="0" w:line="375" w:lineRule="atLeast"/>
              <w:ind w:left="0" w:right="0"/>
              <w:jc w:val="center"/>
              <w:rPr>
                <w:rFonts w:hint="default" w:ascii="宋体" w:hAnsi="宋体" w:cs="宋体"/>
                <w:color w:val="auto"/>
                <w:sz w:val="21"/>
                <w:szCs w:val="21"/>
                <w:highlight w:val="none"/>
              </w:rPr>
            </w:pPr>
            <w:r>
              <w:rPr>
                <w:rFonts w:hint="eastAsia" w:ascii="宋体" w:hAnsi="宋体" w:cs="宋体"/>
                <w:color w:val="auto"/>
                <w:sz w:val="21"/>
                <w:szCs w:val="21"/>
                <w:highlight w:val="none"/>
              </w:rPr>
              <w:t>响应文件响应承诺</w:t>
            </w:r>
          </w:p>
        </w:tc>
        <w:tc>
          <w:tcPr>
            <w:tcW w:w="1452" w:type="dxa"/>
            <w:tcMar>
              <w:top w:w="0" w:type="dxa"/>
              <w:left w:w="105" w:type="dxa"/>
              <w:bottom w:w="0" w:type="dxa"/>
              <w:right w:w="105" w:type="dxa"/>
            </w:tcMar>
            <w:vAlign w:val="center"/>
          </w:tcPr>
          <w:p>
            <w:pPr>
              <w:pStyle w:val="12"/>
              <w:keepNext w:val="0"/>
              <w:keepLines w:val="0"/>
              <w:widowControl/>
              <w:suppressLineNumbers w:val="0"/>
              <w:spacing w:before="0" w:beforeAutospacing="0" w:after="0" w:afterAutospacing="0" w:line="375" w:lineRule="atLeast"/>
              <w:ind w:left="0" w:right="0"/>
              <w:jc w:val="center"/>
              <w:rPr>
                <w:rFonts w:hint="default" w:ascii="宋体" w:hAnsi="宋体" w:cs="宋体"/>
                <w:color w:val="auto"/>
                <w:sz w:val="21"/>
                <w:szCs w:val="21"/>
                <w:highlight w:val="none"/>
              </w:rPr>
            </w:pPr>
            <w:r>
              <w:rPr>
                <w:rFonts w:hint="eastAsia" w:ascii="宋体" w:hAnsi="宋体" w:cs="宋体"/>
                <w:color w:val="auto"/>
                <w:sz w:val="21"/>
                <w:szCs w:val="21"/>
                <w:highlight w:val="none"/>
              </w:rPr>
              <w:t>是否偏离及说明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19" w:hRule="atLeast"/>
          <w:tblCellSpacing w:w="15" w:type="dxa"/>
        </w:trPr>
        <w:tc>
          <w:tcPr>
            <w:tcW w:w="864" w:type="dxa"/>
            <w:tcMar>
              <w:top w:w="0" w:type="dxa"/>
              <w:left w:w="105" w:type="dxa"/>
              <w:bottom w:w="0" w:type="dxa"/>
              <w:right w:w="105" w:type="dxa"/>
            </w:tcMar>
            <w:vAlign w:val="center"/>
          </w:tcPr>
          <w:p>
            <w:pPr>
              <w:keepNext w:val="0"/>
              <w:keepLines w:val="0"/>
              <w:widowControl/>
              <w:suppressLineNumbers w:val="0"/>
              <w:spacing w:before="0" w:beforeAutospacing="0" w:after="0" w:afterAutospacing="0"/>
              <w:ind w:left="0" w:right="0"/>
              <w:jc w:val="left"/>
              <w:rPr>
                <w:rFonts w:hint="default" w:ascii="宋体" w:hAnsi="宋体" w:cs="宋体"/>
                <w:color w:val="auto"/>
                <w:szCs w:val="21"/>
                <w:highlight w:val="none"/>
              </w:rPr>
            </w:pPr>
          </w:p>
        </w:tc>
        <w:tc>
          <w:tcPr>
            <w:tcW w:w="1747" w:type="dxa"/>
            <w:tcMar>
              <w:top w:w="0" w:type="dxa"/>
              <w:left w:w="105" w:type="dxa"/>
              <w:bottom w:w="0" w:type="dxa"/>
              <w:right w:w="105" w:type="dxa"/>
            </w:tcMar>
            <w:vAlign w:val="center"/>
          </w:tcPr>
          <w:p>
            <w:pPr>
              <w:keepNext w:val="0"/>
              <w:keepLines w:val="0"/>
              <w:widowControl/>
              <w:suppressLineNumbers w:val="0"/>
              <w:spacing w:before="0" w:beforeAutospacing="0" w:after="0" w:afterAutospacing="0"/>
              <w:ind w:left="0" w:right="0"/>
              <w:jc w:val="left"/>
              <w:rPr>
                <w:rFonts w:hint="default" w:ascii="宋体" w:hAnsi="宋体" w:cs="宋体"/>
                <w:color w:val="auto"/>
                <w:szCs w:val="21"/>
                <w:highlight w:val="none"/>
              </w:rPr>
            </w:pPr>
          </w:p>
        </w:tc>
        <w:tc>
          <w:tcPr>
            <w:tcW w:w="2926" w:type="dxa"/>
            <w:tcMar>
              <w:top w:w="0" w:type="dxa"/>
              <w:left w:w="105" w:type="dxa"/>
              <w:bottom w:w="0" w:type="dxa"/>
              <w:right w:w="105" w:type="dxa"/>
            </w:tcMar>
            <w:vAlign w:val="center"/>
          </w:tcPr>
          <w:p>
            <w:pPr>
              <w:keepNext w:val="0"/>
              <w:keepLines w:val="0"/>
              <w:widowControl/>
              <w:suppressLineNumbers w:val="0"/>
              <w:spacing w:before="0" w:beforeAutospacing="0" w:after="0" w:afterAutospacing="0"/>
              <w:ind w:left="0" w:right="0"/>
              <w:jc w:val="left"/>
              <w:rPr>
                <w:rFonts w:hint="default" w:ascii="宋体" w:hAnsi="宋体" w:cs="宋体"/>
                <w:color w:val="auto"/>
                <w:szCs w:val="21"/>
                <w:highlight w:val="none"/>
              </w:rPr>
            </w:pPr>
          </w:p>
        </w:tc>
        <w:tc>
          <w:tcPr>
            <w:tcW w:w="2631" w:type="dxa"/>
            <w:tcMar>
              <w:top w:w="0" w:type="dxa"/>
              <w:left w:w="105" w:type="dxa"/>
              <w:bottom w:w="0" w:type="dxa"/>
              <w:right w:w="105" w:type="dxa"/>
            </w:tcMar>
            <w:vAlign w:val="center"/>
          </w:tcPr>
          <w:p>
            <w:pPr>
              <w:keepNext w:val="0"/>
              <w:keepLines w:val="0"/>
              <w:widowControl/>
              <w:suppressLineNumbers w:val="0"/>
              <w:spacing w:before="0" w:beforeAutospacing="0" w:after="0" w:afterAutospacing="0"/>
              <w:ind w:left="0" w:right="0"/>
              <w:jc w:val="left"/>
              <w:rPr>
                <w:rFonts w:hint="default" w:ascii="宋体" w:hAnsi="宋体" w:cs="宋体"/>
                <w:color w:val="auto"/>
                <w:szCs w:val="21"/>
                <w:highlight w:val="none"/>
              </w:rPr>
            </w:pPr>
          </w:p>
        </w:tc>
        <w:tc>
          <w:tcPr>
            <w:tcW w:w="1452" w:type="dxa"/>
            <w:tcMar>
              <w:top w:w="0" w:type="dxa"/>
              <w:left w:w="105" w:type="dxa"/>
              <w:bottom w:w="0" w:type="dxa"/>
              <w:right w:w="105" w:type="dxa"/>
            </w:tcMar>
            <w:vAlign w:val="center"/>
          </w:tcPr>
          <w:p>
            <w:pPr>
              <w:keepNext w:val="0"/>
              <w:keepLines w:val="0"/>
              <w:widowControl/>
              <w:suppressLineNumbers w:val="0"/>
              <w:spacing w:before="0" w:beforeAutospacing="0" w:after="0" w:afterAutospacing="0"/>
              <w:ind w:left="0" w:right="0"/>
              <w:jc w:val="left"/>
              <w:rPr>
                <w:rFonts w:hint="default" w:ascii="宋体" w:hAnsi="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19" w:hRule="atLeast"/>
          <w:tblCellSpacing w:w="15" w:type="dxa"/>
        </w:trPr>
        <w:tc>
          <w:tcPr>
            <w:tcW w:w="864" w:type="dxa"/>
            <w:tcMar>
              <w:top w:w="0" w:type="dxa"/>
              <w:left w:w="105" w:type="dxa"/>
              <w:bottom w:w="0" w:type="dxa"/>
              <w:right w:w="105" w:type="dxa"/>
            </w:tcMar>
            <w:vAlign w:val="center"/>
          </w:tcPr>
          <w:p>
            <w:pPr>
              <w:keepNext w:val="0"/>
              <w:keepLines w:val="0"/>
              <w:widowControl/>
              <w:suppressLineNumbers w:val="0"/>
              <w:spacing w:before="0" w:beforeAutospacing="0" w:after="0" w:afterAutospacing="0"/>
              <w:ind w:left="0" w:right="0"/>
              <w:jc w:val="left"/>
              <w:rPr>
                <w:rFonts w:hint="default" w:ascii="宋体" w:hAnsi="宋体" w:cs="宋体"/>
                <w:color w:val="auto"/>
                <w:szCs w:val="21"/>
                <w:highlight w:val="none"/>
              </w:rPr>
            </w:pPr>
          </w:p>
        </w:tc>
        <w:tc>
          <w:tcPr>
            <w:tcW w:w="1747" w:type="dxa"/>
            <w:tcMar>
              <w:top w:w="0" w:type="dxa"/>
              <w:left w:w="105" w:type="dxa"/>
              <w:bottom w:w="0" w:type="dxa"/>
              <w:right w:w="105" w:type="dxa"/>
            </w:tcMar>
            <w:vAlign w:val="center"/>
          </w:tcPr>
          <w:p>
            <w:pPr>
              <w:keepNext w:val="0"/>
              <w:keepLines w:val="0"/>
              <w:widowControl/>
              <w:suppressLineNumbers w:val="0"/>
              <w:spacing w:before="0" w:beforeAutospacing="0" w:after="0" w:afterAutospacing="0"/>
              <w:ind w:left="0" w:right="0"/>
              <w:jc w:val="left"/>
              <w:rPr>
                <w:rFonts w:hint="default" w:ascii="宋体" w:hAnsi="宋体" w:cs="宋体"/>
                <w:color w:val="auto"/>
                <w:szCs w:val="21"/>
                <w:highlight w:val="none"/>
              </w:rPr>
            </w:pPr>
          </w:p>
        </w:tc>
        <w:tc>
          <w:tcPr>
            <w:tcW w:w="2926" w:type="dxa"/>
            <w:tcMar>
              <w:top w:w="0" w:type="dxa"/>
              <w:left w:w="105" w:type="dxa"/>
              <w:bottom w:w="0" w:type="dxa"/>
              <w:right w:w="105" w:type="dxa"/>
            </w:tcMar>
            <w:vAlign w:val="center"/>
          </w:tcPr>
          <w:p>
            <w:pPr>
              <w:keepNext w:val="0"/>
              <w:keepLines w:val="0"/>
              <w:widowControl/>
              <w:suppressLineNumbers w:val="0"/>
              <w:spacing w:before="0" w:beforeAutospacing="0" w:after="0" w:afterAutospacing="0"/>
              <w:ind w:left="0" w:right="0"/>
              <w:jc w:val="left"/>
              <w:rPr>
                <w:rFonts w:hint="default" w:ascii="宋体" w:hAnsi="宋体" w:cs="宋体"/>
                <w:color w:val="auto"/>
                <w:szCs w:val="21"/>
                <w:highlight w:val="none"/>
              </w:rPr>
            </w:pPr>
          </w:p>
        </w:tc>
        <w:tc>
          <w:tcPr>
            <w:tcW w:w="2631" w:type="dxa"/>
            <w:tcMar>
              <w:top w:w="0" w:type="dxa"/>
              <w:left w:w="105" w:type="dxa"/>
              <w:bottom w:w="0" w:type="dxa"/>
              <w:right w:w="105" w:type="dxa"/>
            </w:tcMar>
            <w:vAlign w:val="center"/>
          </w:tcPr>
          <w:p>
            <w:pPr>
              <w:keepNext w:val="0"/>
              <w:keepLines w:val="0"/>
              <w:widowControl/>
              <w:suppressLineNumbers w:val="0"/>
              <w:spacing w:before="0" w:beforeAutospacing="0" w:after="0" w:afterAutospacing="0"/>
              <w:ind w:left="0" w:right="0"/>
              <w:jc w:val="left"/>
              <w:rPr>
                <w:rFonts w:hint="default" w:ascii="宋体" w:hAnsi="宋体" w:cs="宋体"/>
                <w:color w:val="auto"/>
                <w:szCs w:val="21"/>
                <w:highlight w:val="none"/>
              </w:rPr>
            </w:pPr>
          </w:p>
        </w:tc>
        <w:tc>
          <w:tcPr>
            <w:tcW w:w="1452" w:type="dxa"/>
            <w:tcMar>
              <w:top w:w="0" w:type="dxa"/>
              <w:left w:w="105" w:type="dxa"/>
              <w:bottom w:w="0" w:type="dxa"/>
              <w:right w:w="105" w:type="dxa"/>
            </w:tcMar>
            <w:vAlign w:val="center"/>
          </w:tcPr>
          <w:p>
            <w:pPr>
              <w:keepNext w:val="0"/>
              <w:keepLines w:val="0"/>
              <w:widowControl/>
              <w:suppressLineNumbers w:val="0"/>
              <w:spacing w:before="0" w:beforeAutospacing="0" w:after="0" w:afterAutospacing="0"/>
              <w:ind w:left="0" w:right="0"/>
              <w:jc w:val="left"/>
              <w:rPr>
                <w:rFonts w:hint="default" w:ascii="宋体" w:hAnsi="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19" w:hRule="atLeast"/>
          <w:tblCellSpacing w:w="15" w:type="dxa"/>
        </w:trPr>
        <w:tc>
          <w:tcPr>
            <w:tcW w:w="864" w:type="dxa"/>
            <w:tcMar>
              <w:top w:w="0" w:type="dxa"/>
              <w:left w:w="105" w:type="dxa"/>
              <w:bottom w:w="0" w:type="dxa"/>
              <w:right w:w="105" w:type="dxa"/>
            </w:tcMar>
            <w:vAlign w:val="center"/>
          </w:tcPr>
          <w:p>
            <w:pPr>
              <w:keepNext w:val="0"/>
              <w:keepLines w:val="0"/>
              <w:widowControl/>
              <w:suppressLineNumbers w:val="0"/>
              <w:spacing w:before="0" w:beforeAutospacing="0" w:after="0" w:afterAutospacing="0"/>
              <w:ind w:left="0" w:right="0"/>
              <w:jc w:val="left"/>
              <w:rPr>
                <w:rFonts w:hint="default" w:ascii="宋体" w:hAnsi="宋体" w:cs="宋体"/>
                <w:color w:val="auto"/>
                <w:szCs w:val="21"/>
                <w:highlight w:val="none"/>
              </w:rPr>
            </w:pPr>
          </w:p>
        </w:tc>
        <w:tc>
          <w:tcPr>
            <w:tcW w:w="1747" w:type="dxa"/>
            <w:tcMar>
              <w:top w:w="0" w:type="dxa"/>
              <w:left w:w="105" w:type="dxa"/>
              <w:bottom w:w="0" w:type="dxa"/>
              <w:right w:w="105" w:type="dxa"/>
            </w:tcMar>
            <w:vAlign w:val="center"/>
          </w:tcPr>
          <w:p>
            <w:pPr>
              <w:keepNext w:val="0"/>
              <w:keepLines w:val="0"/>
              <w:widowControl/>
              <w:suppressLineNumbers w:val="0"/>
              <w:spacing w:before="0" w:beforeAutospacing="0" w:after="0" w:afterAutospacing="0"/>
              <w:ind w:left="0" w:right="0"/>
              <w:jc w:val="left"/>
              <w:rPr>
                <w:rFonts w:hint="default" w:ascii="宋体" w:hAnsi="宋体" w:cs="宋体"/>
                <w:color w:val="auto"/>
                <w:szCs w:val="21"/>
                <w:highlight w:val="none"/>
              </w:rPr>
            </w:pPr>
          </w:p>
        </w:tc>
        <w:tc>
          <w:tcPr>
            <w:tcW w:w="2926" w:type="dxa"/>
            <w:tcMar>
              <w:top w:w="0" w:type="dxa"/>
              <w:left w:w="105" w:type="dxa"/>
              <w:bottom w:w="0" w:type="dxa"/>
              <w:right w:w="105" w:type="dxa"/>
            </w:tcMar>
            <w:vAlign w:val="center"/>
          </w:tcPr>
          <w:p>
            <w:pPr>
              <w:keepNext w:val="0"/>
              <w:keepLines w:val="0"/>
              <w:widowControl/>
              <w:suppressLineNumbers w:val="0"/>
              <w:spacing w:before="0" w:beforeAutospacing="0" w:after="0" w:afterAutospacing="0"/>
              <w:ind w:left="0" w:right="0"/>
              <w:jc w:val="left"/>
              <w:rPr>
                <w:rFonts w:hint="default" w:ascii="宋体" w:hAnsi="宋体" w:cs="宋体"/>
                <w:color w:val="auto"/>
                <w:szCs w:val="21"/>
                <w:highlight w:val="none"/>
              </w:rPr>
            </w:pPr>
          </w:p>
        </w:tc>
        <w:tc>
          <w:tcPr>
            <w:tcW w:w="2631" w:type="dxa"/>
            <w:tcMar>
              <w:top w:w="0" w:type="dxa"/>
              <w:left w:w="105" w:type="dxa"/>
              <w:bottom w:w="0" w:type="dxa"/>
              <w:right w:w="105" w:type="dxa"/>
            </w:tcMar>
            <w:vAlign w:val="center"/>
          </w:tcPr>
          <w:p>
            <w:pPr>
              <w:keepNext w:val="0"/>
              <w:keepLines w:val="0"/>
              <w:widowControl/>
              <w:suppressLineNumbers w:val="0"/>
              <w:spacing w:before="0" w:beforeAutospacing="0" w:after="0" w:afterAutospacing="0"/>
              <w:ind w:left="0" w:right="0"/>
              <w:jc w:val="left"/>
              <w:rPr>
                <w:rFonts w:hint="default" w:ascii="宋体" w:hAnsi="宋体" w:cs="宋体"/>
                <w:color w:val="auto"/>
                <w:szCs w:val="21"/>
                <w:highlight w:val="none"/>
              </w:rPr>
            </w:pPr>
          </w:p>
        </w:tc>
        <w:tc>
          <w:tcPr>
            <w:tcW w:w="1452" w:type="dxa"/>
            <w:tcMar>
              <w:top w:w="0" w:type="dxa"/>
              <w:left w:w="105" w:type="dxa"/>
              <w:bottom w:w="0" w:type="dxa"/>
              <w:right w:w="105" w:type="dxa"/>
            </w:tcMar>
            <w:vAlign w:val="center"/>
          </w:tcPr>
          <w:p>
            <w:pPr>
              <w:keepNext w:val="0"/>
              <w:keepLines w:val="0"/>
              <w:widowControl/>
              <w:suppressLineNumbers w:val="0"/>
              <w:spacing w:before="0" w:beforeAutospacing="0" w:after="0" w:afterAutospacing="0"/>
              <w:ind w:left="0" w:right="0"/>
              <w:jc w:val="left"/>
              <w:rPr>
                <w:rFonts w:hint="default" w:ascii="宋体" w:hAnsi="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19" w:hRule="atLeast"/>
          <w:tblCellSpacing w:w="15" w:type="dxa"/>
        </w:trPr>
        <w:tc>
          <w:tcPr>
            <w:tcW w:w="864" w:type="dxa"/>
            <w:tcMar>
              <w:top w:w="0" w:type="dxa"/>
              <w:left w:w="105" w:type="dxa"/>
              <w:bottom w:w="0" w:type="dxa"/>
              <w:right w:w="105" w:type="dxa"/>
            </w:tcMar>
            <w:vAlign w:val="center"/>
          </w:tcPr>
          <w:p>
            <w:pPr>
              <w:keepNext w:val="0"/>
              <w:keepLines w:val="0"/>
              <w:widowControl/>
              <w:suppressLineNumbers w:val="0"/>
              <w:spacing w:before="0" w:beforeAutospacing="0" w:after="0" w:afterAutospacing="0"/>
              <w:ind w:left="0" w:right="0"/>
              <w:jc w:val="left"/>
              <w:rPr>
                <w:rFonts w:hint="default" w:ascii="宋体" w:hAnsi="宋体" w:cs="宋体"/>
                <w:color w:val="auto"/>
                <w:szCs w:val="21"/>
                <w:highlight w:val="none"/>
              </w:rPr>
            </w:pPr>
          </w:p>
        </w:tc>
        <w:tc>
          <w:tcPr>
            <w:tcW w:w="1747" w:type="dxa"/>
            <w:tcMar>
              <w:top w:w="0" w:type="dxa"/>
              <w:left w:w="105" w:type="dxa"/>
              <w:bottom w:w="0" w:type="dxa"/>
              <w:right w:w="105" w:type="dxa"/>
            </w:tcMar>
            <w:vAlign w:val="center"/>
          </w:tcPr>
          <w:p>
            <w:pPr>
              <w:keepNext w:val="0"/>
              <w:keepLines w:val="0"/>
              <w:widowControl/>
              <w:suppressLineNumbers w:val="0"/>
              <w:spacing w:before="0" w:beforeAutospacing="0" w:after="0" w:afterAutospacing="0"/>
              <w:ind w:left="0" w:right="0"/>
              <w:jc w:val="left"/>
              <w:rPr>
                <w:rFonts w:hint="default" w:ascii="宋体" w:hAnsi="宋体" w:cs="宋体"/>
                <w:color w:val="auto"/>
                <w:szCs w:val="21"/>
                <w:highlight w:val="none"/>
              </w:rPr>
            </w:pPr>
          </w:p>
        </w:tc>
        <w:tc>
          <w:tcPr>
            <w:tcW w:w="2926" w:type="dxa"/>
            <w:tcMar>
              <w:top w:w="0" w:type="dxa"/>
              <w:left w:w="105" w:type="dxa"/>
              <w:bottom w:w="0" w:type="dxa"/>
              <w:right w:w="105" w:type="dxa"/>
            </w:tcMar>
            <w:vAlign w:val="center"/>
          </w:tcPr>
          <w:p>
            <w:pPr>
              <w:keepNext w:val="0"/>
              <w:keepLines w:val="0"/>
              <w:widowControl/>
              <w:suppressLineNumbers w:val="0"/>
              <w:spacing w:before="0" w:beforeAutospacing="0" w:after="0" w:afterAutospacing="0"/>
              <w:ind w:left="0" w:right="0"/>
              <w:jc w:val="left"/>
              <w:rPr>
                <w:rFonts w:hint="default" w:ascii="宋体" w:hAnsi="宋体" w:cs="宋体"/>
                <w:color w:val="auto"/>
                <w:szCs w:val="21"/>
                <w:highlight w:val="none"/>
              </w:rPr>
            </w:pPr>
          </w:p>
        </w:tc>
        <w:tc>
          <w:tcPr>
            <w:tcW w:w="2631" w:type="dxa"/>
            <w:tcMar>
              <w:top w:w="0" w:type="dxa"/>
              <w:left w:w="105" w:type="dxa"/>
              <w:bottom w:w="0" w:type="dxa"/>
              <w:right w:w="105" w:type="dxa"/>
            </w:tcMar>
            <w:vAlign w:val="center"/>
          </w:tcPr>
          <w:p>
            <w:pPr>
              <w:keepNext w:val="0"/>
              <w:keepLines w:val="0"/>
              <w:widowControl/>
              <w:suppressLineNumbers w:val="0"/>
              <w:spacing w:before="0" w:beforeAutospacing="0" w:after="0" w:afterAutospacing="0"/>
              <w:ind w:left="0" w:right="0"/>
              <w:jc w:val="left"/>
              <w:rPr>
                <w:rFonts w:hint="default" w:ascii="宋体" w:hAnsi="宋体" w:cs="宋体"/>
                <w:color w:val="auto"/>
                <w:szCs w:val="21"/>
                <w:highlight w:val="none"/>
              </w:rPr>
            </w:pPr>
          </w:p>
        </w:tc>
        <w:tc>
          <w:tcPr>
            <w:tcW w:w="1452" w:type="dxa"/>
            <w:tcMar>
              <w:top w:w="0" w:type="dxa"/>
              <w:left w:w="105" w:type="dxa"/>
              <w:bottom w:w="0" w:type="dxa"/>
              <w:right w:w="105" w:type="dxa"/>
            </w:tcMar>
            <w:vAlign w:val="center"/>
          </w:tcPr>
          <w:p>
            <w:pPr>
              <w:keepNext w:val="0"/>
              <w:keepLines w:val="0"/>
              <w:widowControl/>
              <w:suppressLineNumbers w:val="0"/>
              <w:spacing w:before="0" w:beforeAutospacing="0" w:after="0" w:afterAutospacing="0"/>
              <w:ind w:left="0" w:right="0"/>
              <w:jc w:val="left"/>
              <w:rPr>
                <w:rFonts w:hint="default" w:ascii="宋体" w:hAnsi="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19" w:hRule="atLeast"/>
          <w:tblCellSpacing w:w="15" w:type="dxa"/>
        </w:trPr>
        <w:tc>
          <w:tcPr>
            <w:tcW w:w="864" w:type="dxa"/>
            <w:tcMar>
              <w:top w:w="0" w:type="dxa"/>
              <w:left w:w="105" w:type="dxa"/>
              <w:bottom w:w="0" w:type="dxa"/>
              <w:right w:w="105" w:type="dxa"/>
            </w:tcMar>
            <w:vAlign w:val="center"/>
          </w:tcPr>
          <w:p>
            <w:pPr>
              <w:keepNext w:val="0"/>
              <w:keepLines w:val="0"/>
              <w:widowControl/>
              <w:suppressLineNumbers w:val="0"/>
              <w:spacing w:before="0" w:beforeAutospacing="0" w:after="0" w:afterAutospacing="0"/>
              <w:ind w:left="0" w:right="0"/>
              <w:jc w:val="left"/>
              <w:rPr>
                <w:rFonts w:hint="default" w:ascii="宋体" w:hAnsi="宋体" w:cs="宋体"/>
                <w:color w:val="auto"/>
                <w:szCs w:val="21"/>
                <w:highlight w:val="none"/>
              </w:rPr>
            </w:pPr>
          </w:p>
        </w:tc>
        <w:tc>
          <w:tcPr>
            <w:tcW w:w="1747" w:type="dxa"/>
            <w:tcMar>
              <w:top w:w="0" w:type="dxa"/>
              <w:left w:w="105" w:type="dxa"/>
              <w:bottom w:w="0" w:type="dxa"/>
              <w:right w:w="105" w:type="dxa"/>
            </w:tcMar>
            <w:vAlign w:val="center"/>
          </w:tcPr>
          <w:p>
            <w:pPr>
              <w:keepNext w:val="0"/>
              <w:keepLines w:val="0"/>
              <w:widowControl/>
              <w:suppressLineNumbers w:val="0"/>
              <w:spacing w:before="0" w:beforeAutospacing="0" w:after="0" w:afterAutospacing="0"/>
              <w:ind w:left="0" w:right="0"/>
              <w:jc w:val="left"/>
              <w:rPr>
                <w:rFonts w:hint="default" w:ascii="宋体" w:hAnsi="宋体" w:cs="宋体"/>
                <w:color w:val="auto"/>
                <w:szCs w:val="21"/>
                <w:highlight w:val="none"/>
              </w:rPr>
            </w:pPr>
          </w:p>
        </w:tc>
        <w:tc>
          <w:tcPr>
            <w:tcW w:w="2926" w:type="dxa"/>
            <w:tcMar>
              <w:top w:w="0" w:type="dxa"/>
              <w:left w:w="105" w:type="dxa"/>
              <w:bottom w:w="0" w:type="dxa"/>
              <w:right w:w="105" w:type="dxa"/>
            </w:tcMar>
            <w:vAlign w:val="center"/>
          </w:tcPr>
          <w:p>
            <w:pPr>
              <w:keepNext w:val="0"/>
              <w:keepLines w:val="0"/>
              <w:widowControl/>
              <w:suppressLineNumbers w:val="0"/>
              <w:spacing w:before="0" w:beforeAutospacing="0" w:after="0" w:afterAutospacing="0"/>
              <w:ind w:left="0" w:right="0"/>
              <w:jc w:val="left"/>
              <w:rPr>
                <w:rFonts w:hint="default" w:ascii="宋体" w:hAnsi="宋体" w:cs="宋体"/>
                <w:color w:val="auto"/>
                <w:szCs w:val="21"/>
                <w:highlight w:val="none"/>
              </w:rPr>
            </w:pPr>
          </w:p>
        </w:tc>
        <w:tc>
          <w:tcPr>
            <w:tcW w:w="2631" w:type="dxa"/>
            <w:tcMar>
              <w:top w:w="0" w:type="dxa"/>
              <w:left w:w="105" w:type="dxa"/>
              <w:bottom w:w="0" w:type="dxa"/>
              <w:right w:w="105" w:type="dxa"/>
            </w:tcMar>
            <w:vAlign w:val="center"/>
          </w:tcPr>
          <w:p>
            <w:pPr>
              <w:keepNext w:val="0"/>
              <w:keepLines w:val="0"/>
              <w:widowControl/>
              <w:suppressLineNumbers w:val="0"/>
              <w:spacing w:before="0" w:beforeAutospacing="0" w:after="0" w:afterAutospacing="0"/>
              <w:ind w:left="0" w:right="0"/>
              <w:jc w:val="left"/>
              <w:rPr>
                <w:rFonts w:hint="default" w:ascii="宋体" w:hAnsi="宋体" w:cs="宋体"/>
                <w:color w:val="auto"/>
                <w:szCs w:val="21"/>
                <w:highlight w:val="none"/>
              </w:rPr>
            </w:pPr>
          </w:p>
        </w:tc>
        <w:tc>
          <w:tcPr>
            <w:tcW w:w="1452" w:type="dxa"/>
            <w:tcMar>
              <w:top w:w="0" w:type="dxa"/>
              <w:left w:w="105" w:type="dxa"/>
              <w:bottom w:w="0" w:type="dxa"/>
              <w:right w:w="105" w:type="dxa"/>
            </w:tcMar>
            <w:vAlign w:val="center"/>
          </w:tcPr>
          <w:p>
            <w:pPr>
              <w:keepNext w:val="0"/>
              <w:keepLines w:val="0"/>
              <w:widowControl/>
              <w:suppressLineNumbers w:val="0"/>
              <w:spacing w:before="0" w:beforeAutospacing="0" w:after="0" w:afterAutospacing="0"/>
              <w:ind w:left="0" w:right="0"/>
              <w:jc w:val="left"/>
              <w:rPr>
                <w:rFonts w:hint="default" w:ascii="宋体" w:hAnsi="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19" w:hRule="atLeast"/>
          <w:tblCellSpacing w:w="15" w:type="dxa"/>
        </w:trPr>
        <w:tc>
          <w:tcPr>
            <w:tcW w:w="864" w:type="dxa"/>
            <w:tcMar>
              <w:top w:w="0" w:type="dxa"/>
              <w:left w:w="105" w:type="dxa"/>
              <w:bottom w:w="0" w:type="dxa"/>
              <w:right w:w="105" w:type="dxa"/>
            </w:tcMar>
            <w:vAlign w:val="center"/>
          </w:tcPr>
          <w:p>
            <w:pPr>
              <w:keepNext w:val="0"/>
              <w:keepLines w:val="0"/>
              <w:widowControl/>
              <w:suppressLineNumbers w:val="0"/>
              <w:spacing w:before="0" w:beforeAutospacing="0" w:after="0" w:afterAutospacing="0"/>
              <w:ind w:left="0" w:right="0"/>
              <w:jc w:val="left"/>
              <w:rPr>
                <w:rFonts w:hint="default" w:ascii="宋体" w:hAnsi="宋体" w:cs="宋体"/>
                <w:color w:val="auto"/>
                <w:szCs w:val="21"/>
                <w:highlight w:val="none"/>
              </w:rPr>
            </w:pPr>
          </w:p>
        </w:tc>
        <w:tc>
          <w:tcPr>
            <w:tcW w:w="1747" w:type="dxa"/>
            <w:tcMar>
              <w:top w:w="0" w:type="dxa"/>
              <w:left w:w="105" w:type="dxa"/>
              <w:bottom w:w="0" w:type="dxa"/>
              <w:right w:w="105" w:type="dxa"/>
            </w:tcMar>
            <w:vAlign w:val="center"/>
          </w:tcPr>
          <w:p>
            <w:pPr>
              <w:keepNext w:val="0"/>
              <w:keepLines w:val="0"/>
              <w:widowControl/>
              <w:suppressLineNumbers w:val="0"/>
              <w:spacing w:before="0" w:beforeAutospacing="0" w:after="0" w:afterAutospacing="0"/>
              <w:ind w:left="0" w:right="0"/>
              <w:jc w:val="left"/>
              <w:rPr>
                <w:rFonts w:hint="default" w:ascii="宋体" w:hAnsi="宋体" w:cs="宋体"/>
                <w:color w:val="auto"/>
                <w:szCs w:val="21"/>
                <w:highlight w:val="none"/>
              </w:rPr>
            </w:pPr>
          </w:p>
        </w:tc>
        <w:tc>
          <w:tcPr>
            <w:tcW w:w="2926" w:type="dxa"/>
            <w:tcMar>
              <w:top w:w="0" w:type="dxa"/>
              <w:left w:w="105" w:type="dxa"/>
              <w:bottom w:w="0" w:type="dxa"/>
              <w:right w:w="105" w:type="dxa"/>
            </w:tcMar>
            <w:vAlign w:val="center"/>
          </w:tcPr>
          <w:p>
            <w:pPr>
              <w:keepNext w:val="0"/>
              <w:keepLines w:val="0"/>
              <w:widowControl/>
              <w:suppressLineNumbers w:val="0"/>
              <w:spacing w:before="0" w:beforeAutospacing="0" w:after="0" w:afterAutospacing="0"/>
              <w:ind w:left="0" w:right="0"/>
              <w:jc w:val="left"/>
              <w:rPr>
                <w:rFonts w:hint="default" w:ascii="宋体" w:hAnsi="宋体" w:cs="宋体"/>
                <w:color w:val="auto"/>
                <w:szCs w:val="21"/>
                <w:highlight w:val="none"/>
              </w:rPr>
            </w:pPr>
          </w:p>
        </w:tc>
        <w:tc>
          <w:tcPr>
            <w:tcW w:w="2631" w:type="dxa"/>
            <w:tcMar>
              <w:top w:w="0" w:type="dxa"/>
              <w:left w:w="105" w:type="dxa"/>
              <w:bottom w:w="0" w:type="dxa"/>
              <w:right w:w="105" w:type="dxa"/>
            </w:tcMar>
            <w:vAlign w:val="center"/>
          </w:tcPr>
          <w:p>
            <w:pPr>
              <w:keepNext w:val="0"/>
              <w:keepLines w:val="0"/>
              <w:widowControl/>
              <w:suppressLineNumbers w:val="0"/>
              <w:spacing w:before="0" w:beforeAutospacing="0" w:after="0" w:afterAutospacing="0"/>
              <w:ind w:left="0" w:right="0"/>
              <w:jc w:val="left"/>
              <w:rPr>
                <w:rFonts w:hint="default" w:ascii="宋体" w:hAnsi="宋体" w:cs="宋体"/>
                <w:color w:val="auto"/>
                <w:szCs w:val="21"/>
                <w:highlight w:val="none"/>
              </w:rPr>
            </w:pPr>
          </w:p>
        </w:tc>
        <w:tc>
          <w:tcPr>
            <w:tcW w:w="1452" w:type="dxa"/>
            <w:tcMar>
              <w:top w:w="0" w:type="dxa"/>
              <w:left w:w="105" w:type="dxa"/>
              <w:bottom w:w="0" w:type="dxa"/>
              <w:right w:w="105" w:type="dxa"/>
            </w:tcMar>
            <w:vAlign w:val="center"/>
          </w:tcPr>
          <w:p>
            <w:pPr>
              <w:keepNext w:val="0"/>
              <w:keepLines w:val="0"/>
              <w:widowControl/>
              <w:suppressLineNumbers w:val="0"/>
              <w:spacing w:before="0" w:beforeAutospacing="0" w:after="0" w:afterAutospacing="0"/>
              <w:ind w:left="0" w:right="0"/>
              <w:jc w:val="left"/>
              <w:rPr>
                <w:rFonts w:hint="default" w:ascii="宋体" w:hAnsi="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19" w:hRule="atLeast"/>
          <w:tblCellSpacing w:w="15" w:type="dxa"/>
        </w:trPr>
        <w:tc>
          <w:tcPr>
            <w:tcW w:w="864" w:type="dxa"/>
            <w:tcMar>
              <w:top w:w="0" w:type="dxa"/>
              <w:left w:w="105" w:type="dxa"/>
              <w:bottom w:w="0" w:type="dxa"/>
              <w:right w:w="105" w:type="dxa"/>
            </w:tcMar>
            <w:vAlign w:val="center"/>
          </w:tcPr>
          <w:p>
            <w:pPr>
              <w:keepNext w:val="0"/>
              <w:keepLines w:val="0"/>
              <w:widowControl/>
              <w:suppressLineNumbers w:val="0"/>
              <w:spacing w:before="0" w:beforeAutospacing="0" w:after="0" w:afterAutospacing="0"/>
              <w:ind w:left="0" w:right="0"/>
              <w:jc w:val="left"/>
              <w:rPr>
                <w:rFonts w:hint="default" w:ascii="宋体" w:hAnsi="宋体" w:cs="宋体"/>
                <w:color w:val="auto"/>
                <w:szCs w:val="21"/>
                <w:highlight w:val="none"/>
              </w:rPr>
            </w:pPr>
          </w:p>
        </w:tc>
        <w:tc>
          <w:tcPr>
            <w:tcW w:w="1747" w:type="dxa"/>
            <w:tcMar>
              <w:top w:w="0" w:type="dxa"/>
              <w:left w:w="105" w:type="dxa"/>
              <w:bottom w:w="0" w:type="dxa"/>
              <w:right w:w="105" w:type="dxa"/>
            </w:tcMar>
            <w:vAlign w:val="center"/>
          </w:tcPr>
          <w:p>
            <w:pPr>
              <w:keepNext w:val="0"/>
              <w:keepLines w:val="0"/>
              <w:widowControl/>
              <w:suppressLineNumbers w:val="0"/>
              <w:spacing w:before="0" w:beforeAutospacing="0" w:after="0" w:afterAutospacing="0"/>
              <w:ind w:left="0" w:right="0"/>
              <w:jc w:val="left"/>
              <w:rPr>
                <w:rFonts w:hint="default" w:ascii="宋体" w:hAnsi="宋体" w:cs="宋体"/>
                <w:color w:val="auto"/>
                <w:szCs w:val="21"/>
                <w:highlight w:val="none"/>
              </w:rPr>
            </w:pPr>
          </w:p>
        </w:tc>
        <w:tc>
          <w:tcPr>
            <w:tcW w:w="2926" w:type="dxa"/>
            <w:tcMar>
              <w:top w:w="0" w:type="dxa"/>
              <w:left w:w="105" w:type="dxa"/>
              <w:bottom w:w="0" w:type="dxa"/>
              <w:right w:w="105" w:type="dxa"/>
            </w:tcMar>
            <w:vAlign w:val="center"/>
          </w:tcPr>
          <w:p>
            <w:pPr>
              <w:keepNext w:val="0"/>
              <w:keepLines w:val="0"/>
              <w:widowControl/>
              <w:suppressLineNumbers w:val="0"/>
              <w:spacing w:before="0" w:beforeAutospacing="0" w:after="0" w:afterAutospacing="0"/>
              <w:ind w:left="0" w:right="0"/>
              <w:jc w:val="left"/>
              <w:rPr>
                <w:rFonts w:hint="default" w:ascii="宋体" w:hAnsi="宋体" w:cs="宋体"/>
                <w:color w:val="auto"/>
                <w:szCs w:val="21"/>
                <w:highlight w:val="none"/>
              </w:rPr>
            </w:pPr>
          </w:p>
        </w:tc>
        <w:tc>
          <w:tcPr>
            <w:tcW w:w="2631" w:type="dxa"/>
            <w:tcMar>
              <w:top w:w="0" w:type="dxa"/>
              <w:left w:w="105" w:type="dxa"/>
              <w:bottom w:w="0" w:type="dxa"/>
              <w:right w:w="105" w:type="dxa"/>
            </w:tcMar>
            <w:vAlign w:val="center"/>
          </w:tcPr>
          <w:p>
            <w:pPr>
              <w:keepNext w:val="0"/>
              <w:keepLines w:val="0"/>
              <w:widowControl/>
              <w:suppressLineNumbers w:val="0"/>
              <w:spacing w:before="0" w:beforeAutospacing="0" w:after="0" w:afterAutospacing="0"/>
              <w:ind w:left="0" w:right="0"/>
              <w:jc w:val="left"/>
              <w:rPr>
                <w:rFonts w:hint="default" w:ascii="宋体" w:hAnsi="宋体" w:cs="宋体"/>
                <w:color w:val="auto"/>
                <w:szCs w:val="21"/>
                <w:highlight w:val="none"/>
              </w:rPr>
            </w:pPr>
          </w:p>
        </w:tc>
        <w:tc>
          <w:tcPr>
            <w:tcW w:w="1452" w:type="dxa"/>
            <w:tcMar>
              <w:top w:w="0" w:type="dxa"/>
              <w:left w:w="105" w:type="dxa"/>
              <w:bottom w:w="0" w:type="dxa"/>
              <w:right w:w="105" w:type="dxa"/>
            </w:tcMar>
            <w:vAlign w:val="center"/>
          </w:tcPr>
          <w:p>
            <w:pPr>
              <w:keepNext w:val="0"/>
              <w:keepLines w:val="0"/>
              <w:widowControl/>
              <w:suppressLineNumbers w:val="0"/>
              <w:spacing w:before="0" w:beforeAutospacing="0" w:after="0" w:afterAutospacing="0"/>
              <w:ind w:left="0" w:right="0"/>
              <w:jc w:val="left"/>
              <w:rPr>
                <w:rFonts w:hint="default" w:ascii="宋体" w:hAnsi="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19" w:hRule="atLeast"/>
          <w:tblCellSpacing w:w="15" w:type="dxa"/>
        </w:trPr>
        <w:tc>
          <w:tcPr>
            <w:tcW w:w="864" w:type="dxa"/>
            <w:tcMar>
              <w:top w:w="0" w:type="dxa"/>
              <w:left w:w="105" w:type="dxa"/>
              <w:bottom w:w="0" w:type="dxa"/>
              <w:right w:w="105" w:type="dxa"/>
            </w:tcMar>
            <w:vAlign w:val="center"/>
          </w:tcPr>
          <w:p>
            <w:pPr>
              <w:keepNext w:val="0"/>
              <w:keepLines w:val="0"/>
              <w:widowControl/>
              <w:suppressLineNumbers w:val="0"/>
              <w:spacing w:before="0" w:beforeAutospacing="0" w:after="0" w:afterAutospacing="0"/>
              <w:ind w:left="0" w:right="0"/>
              <w:jc w:val="left"/>
              <w:rPr>
                <w:rFonts w:hint="default" w:ascii="宋体" w:hAnsi="宋体" w:cs="宋体"/>
                <w:color w:val="auto"/>
                <w:szCs w:val="21"/>
                <w:highlight w:val="none"/>
              </w:rPr>
            </w:pPr>
          </w:p>
        </w:tc>
        <w:tc>
          <w:tcPr>
            <w:tcW w:w="1747" w:type="dxa"/>
            <w:tcMar>
              <w:top w:w="0" w:type="dxa"/>
              <w:left w:w="105" w:type="dxa"/>
              <w:bottom w:w="0" w:type="dxa"/>
              <w:right w:w="105" w:type="dxa"/>
            </w:tcMar>
            <w:vAlign w:val="center"/>
          </w:tcPr>
          <w:p>
            <w:pPr>
              <w:keepNext w:val="0"/>
              <w:keepLines w:val="0"/>
              <w:widowControl/>
              <w:suppressLineNumbers w:val="0"/>
              <w:spacing w:before="0" w:beforeAutospacing="0" w:after="0" w:afterAutospacing="0"/>
              <w:ind w:left="0" w:right="0"/>
              <w:jc w:val="left"/>
              <w:rPr>
                <w:rFonts w:hint="default" w:ascii="宋体" w:hAnsi="宋体" w:cs="宋体"/>
                <w:color w:val="auto"/>
                <w:szCs w:val="21"/>
                <w:highlight w:val="none"/>
              </w:rPr>
            </w:pPr>
          </w:p>
        </w:tc>
        <w:tc>
          <w:tcPr>
            <w:tcW w:w="2926" w:type="dxa"/>
            <w:tcMar>
              <w:top w:w="0" w:type="dxa"/>
              <w:left w:w="105" w:type="dxa"/>
              <w:bottom w:w="0" w:type="dxa"/>
              <w:right w:w="105" w:type="dxa"/>
            </w:tcMar>
            <w:vAlign w:val="center"/>
          </w:tcPr>
          <w:p>
            <w:pPr>
              <w:keepNext w:val="0"/>
              <w:keepLines w:val="0"/>
              <w:widowControl/>
              <w:suppressLineNumbers w:val="0"/>
              <w:spacing w:before="0" w:beforeAutospacing="0" w:after="0" w:afterAutospacing="0"/>
              <w:ind w:left="0" w:right="0"/>
              <w:jc w:val="left"/>
              <w:rPr>
                <w:rFonts w:hint="default" w:ascii="宋体" w:hAnsi="宋体" w:cs="宋体"/>
                <w:color w:val="auto"/>
                <w:szCs w:val="21"/>
                <w:highlight w:val="none"/>
              </w:rPr>
            </w:pPr>
          </w:p>
        </w:tc>
        <w:tc>
          <w:tcPr>
            <w:tcW w:w="2631" w:type="dxa"/>
            <w:tcMar>
              <w:top w:w="0" w:type="dxa"/>
              <w:left w:w="105" w:type="dxa"/>
              <w:bottom w:w="0" w:type="dxa"/>
              <w:right w:w="105" w:type="dxa"/>
            </w:tcMar>
            <w:vAlign w:val="center"/>
          </w:tcPr>
          <w:p>
            <w:pPr>
              <w:keepNext w:val="0"/>
              <w:keepLines w:val="0"/>
              <w:widowControl/>
              <w:suppressLineNumbers w:val="0"/>
              <w:spacing w:before="0" w:beforeAutospacing="0" w:after="0" w:afterAutospacing="0"/>
              <w:ind w:left="0" w:right="0"/>
              <w:jc w:val="left"/>
              <w:rPr>
                <w:rFonts w:hint="default" w:ascii="宋体" w:hAnsi="宋体" w:cs="宋体"/>
                <w:color w:val="auto"/>
                <w:szCs w:val="21"/>
                <w:highlight w:val="none"/>
              </w:rPr>
            </w:pPr>
          </w:p>
        </w:tc>
        <w:tc>
          <w:tcPr>
            <w:tcW w:w="1452" w:type="dxa"/>
            <w:tcMar>
              <w:top w:w="0" w:type="dxa"/>
              <w:left w:w="105" w:type="dxa"/>
              <w:bottom w:w="0" w:type="dxa"/>
              <w:right w:w="105" w:type="dxa"/>
            </w:tcMar>
            <w:vAlign w:val="center"/>
          </w:tcPr>
          <w:p>
            <w:pPr>
              <w:keepNext w:val="0"/>
              <w:keepLines w:val="0"/>
              <w:widowControl/>
              <w:suppressLineNumbers w:val="0"/>
              <w:spacing w:before="0" w:beforeAutospacing="0" w:after="0" w:afterAutospacing="0"/>
              <w:ind w:left="0" w:right="0"/>
              <w:jc w:val="left"/>
              <w:rPr>
                <w:rFonts w:hint="default" w:ascii="宋体" w:hAnsi="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19" w:hRule="atLeast"/>
          <w:tblCellSpacing w:w="15" w:type="dxa"/>
        </w:trPr>
        <w:tc>
          <w:tcPr>
            <w:tcW w:w="864" w:type="dxa"/>
            <w:tcMar>
              <w:top w:w="0" w:type="dxa"/>
              <w:left w:w="105" w:type="dxa"/>
              <w:bottom w:w="0" w:type="dxa"/>
              <w:right w:w="105" w:type="dxa"/>
            </w:tcMar>
            <w:vAlign w:val="center"/>
          </w:tcPr>
          <w:p>
            <w:pPr>
              <w:keepNext w:val="0"/>
              <w:keepLines w:val="0"/>
              <w:widowControl/>
              <w:suppressLineNumbers w:val="0"/>
              <w:spacing w:before="0" w:beforeAutospacing="0" w:after="0" w:afterAutospacing="0"/>
              <w:ind w:left="0" w:right="0"/>
              <w:jc w:val="left"/>
              <w:rPr>
                <w:rFonts w:hint="default" w:ascii="宋体" w:hAnsi="宋体" w:cs="宋体"/>
                <w:color w:val="auto"/>
                <w:szCs w:val="21"/>
                <w:highlight w:val="none"/>
              </w:rPr>
            </w:pPr>
          </w:p>
        </w:tc>
        <w:tc>
          <w:tcPr>
            <w:tcW w:w="1747" w:type="dxa"/>
            <w:tcMar>
              <w:top w:w="0" w:type="dxa"/>
              <w:left w:w="105" w:type="dxa"/>
              <w:bottom w:w="0" w:type="dxa"/>
              <w:right w:w="105" w:type="dxa"/>
            </w:tcMar>
            <w:vAlign w:val="center"/>
          </w:tcPr>
          <w:p>
            <w:pPr>
              <w:keepNext w:val="0"/>
              <w:keepLines w:val="0"/>
              <w:widowControl/>
              <w:suppressLineNumbers w:val="0"/>
              <w:spacing w:before="0" w:beforeAutospacing="0" w:after="0" w:afterAutospacing="0"/>
              <w:ind w:left="0" w:right="0"/>
              <w:jc w:val="left"/>
              <w:rPr>
                <w:rFonts w:hint="default" w:ascii="宋体" w:hAnsi="宋体" w:cs="宋体"/>
                <w:color w:val="auto"/>
                <w:szCs w:val="21"/>
                <w:highlight w:val="none"/>
              </w:rPr>
            </w:pPr>
          </w:p>
        </w:tc>
        <w:tc>
          <w:tcPr>
            <w:tcW w:w="2926" w:type="dxa"/>
            <w:tcMar>
              <w:top w:w="0" w:type="dxa"/>
              <w:left w:w="105" w:type="dxa"/>
              <w:bottom w:w="0" w:type="dxa"/>
              <w:right w:w="105" w:type="dxa"/>
            </w:tcMar>
            <w:vAlign w:val="center"/>
          </w:tcPr>
          <w:p>
            <w:pPr>
              <w:keepNext w:val="0"/>
              <w:keepLines w:val="0"/>
              <w:widowControl/>
              <w:suppressLineNumbers w:val="0"/>
              <w:spacing w:before="0" w:beforeAutospacing="0" w:after="0" w:afterAutospacing="0"/>
              <w:ind w:left="0" w:right="0"/>
              <w:jc w:val="left"/>
              <w:rPr>
                <w:rFonts w:hint="default" w:ascii="宋体" w:hAnsi="宋体" w:cs="宋体"/>
                <w:color w:val="auto"/>
                <w:szCs w:val="21"/>
                <w:highlight w:val="none"/>
              </w:rPr>
            </w:pPr>
          </w:p>
        </w:tc>
        <w:tc>
          <w:tcPr>
            <w:tcW w:w="2631" w:type="dxa"/>
            <w:tcMar>
              <w:top w:w="0" w:type="dxa"/>
              <w:left w:w="105" w:type="dxa"/>
              <w:bottom w:w="0" w:type="dxa"/>
              <w:right w:w="105" w:type="dxa"/>
            </w:tcMar>
            <w:vAlign w:val="center"/>
          </w:tcPr>
          <w:p>
            <w:pPr>
              <w:keepNext w:val="0"/>
              <w:keepLines w:val="0"/>
              <w:widowControl/>
              <w:suppressLineNumbers w:val="0"/>
              <w:spacing w:before="0" w:beforeAutospacing="0" w:after="0" w:afterAutospacing="0"/>
              <w:ind w:left="0" w:right="0"/>
              <w:jc w:val="left"/>
              <w:rPr>
                <w:rFonts w:hint="default" w:ascii="宋体" w:hAnsi="宋体" w:cs="宋体"/>
                <w:color w:val="auto"/>
                <w:szCs w:val="21"/>
                <w:highlight w:val="none"/>
              </w:rPr>
            </w:pPr>
          </w:p>
        </w:tc>
        <w:tc>
          <w:tcPr>
            <w:tcW w:w="1452" w:type="dxa"/>
            <w:tcMar>
              <w:top w:w="0" w:type="dxa"/>
              <w:left w:w="105" w:type="dxa"/>
              <w:bottom w:w="0" w:type="dxa"/>
              <w:right w:w="105" w:type="dxa"/>
            </w:tcMar>
            <w:vAlign w:val="center"/>
          </w:tcPr>
          <w:p>
            <w:pPr>
              <w:keepNext w:val="0"/>
              <w:keepLines w:val="0"/>
              <w:widowControl/>
              <w:suppressLineNumbers w:val="0"/>
              <w:spacing w:before="0" w:beforeAutospacing="0" w:after="0" w:afterAutospacing="0"/>
              <w:ind w:left="0" w:right="0"/>
              <w:jc w:val="left"/>
              <w:rPr>
                <w:rFonts w:hint="default" w:ascii="宋体" w:hAnsi="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19" w:hRule="atLeast"/>
          <w:tblCellSpacing w:w="15" w:type="dxa"/>
        </w:trPr>
        <w:tc>
          <w:tcPr>
            <w:tcW w:w="864" w:type="dxa"/>
            <w:tcMar>
              <w:top w:w="0" w:type="dxa"/>
              <w:left w:w="105" w:type="dxa"/>
              <w:bottom w:w="0" w:type="dxa"/>
              <w:right w:w="105" w:type="dxa"/>
            </w:tcMar>
            <w:vAlign w:val="center"/>
          </w:tcPr>
          <w:p>
            <w:pPr>
              <w:keepNext w:val="0"/>
              <w:keepLines w:val="0"/>
              <w:widowControl/>
              <w:suppressLineNumbers w:val="0"/>
              <w:spacing w:before="0" w:beforeAutospacing="0" w:after="0" w:afterAutospacing="0"/>
              <w:ind w:left="0" w:right="0"/>
              <w:jc w:val="left"/>
              <w:rPr>
                <w:rFonts w:hint="default" w:ascii="宋体" w:hAnsi="宋体" w:cs="宋体"/>
                <w:color w:val="auto"/>
                <w:szCs w:val="21"/>
                <w:highlight w:val="none"/>
              </w:rPr>
            </w:pPr>
          </w:p>
        </w:tc>
        <w:tc>
          <w:tcPr>
            <w:tcW w:w="1747" w:type="dxa"/>
            <w:tcMar>
              <w:top w:w="0" w:type="dxa"/>
              <w:left w:w="105" w:type="dxa"/>
              <w:bottom w:w="0" w:type="dxa"/>
              <w:right w:w="105" w:type="dxa"/>
            </w:tcMar>
            <w:vAlign w:val="center"/>
          </w:tcPr>
          <w:p>
            <w:pPr>
              <w:keepNext w:val="0"/>
              <w:keepLines w:val="0"/>
              <w:widowControl/>
              <w:suppressLineNumbers w:val="0"/>
              <w:spacing w:before="0" w:beforeAutospacing="0" w:after="0" w:afterAutospacing="0"/>
              <w:ind w:left="0" w:right="0"/>
              <w:jc w:val="left"/>
              <w:rPr>
                <w:rFonts w:hint="default" w:ascii="宋体" w:hAnsi="宋体" w:cs="宋体"/>
                <w:color w:val="auto"/>
                <w:szCs w:val="21"/>
                <w:highlight w:val="none"/>
              </w:rPr>
            </w:pPr>
          </w:p>
        </w:tc>
        <w:tc>
          <w:tcPr>
            <w:tcW w:w="2926" w:type="dxa"/>
            <w:tcMar>
              <w:top w:w="0" w:type="dxa"/>
              <w:left w:w="105" w:type="dxa"/>
              <w:bottom w:w="0" w:type="dxa"/>
              <w:right w:w="105" w:type="dxa"/>
            </w:tcMar>
            <w:vAlign w:val="center"/>
          </w:tcPr>
          <w:p>
            <w:pPr>
              <w:keepNext w:val="0"/>
              <w:keepLines w:val="0"/>
              <w:widowControl/>
              <w:suppressLineNumbers w:val="0"/>
              <w:spacing w:before="0" w:beforeAutospacing="0" w:after="0" w:afterAutospacing="0"/>
              <w:ind w:left="0" w:right="0"/>
              <w:jc w:val="left"/>
              <w:rPr>
                <w:rFonts w:hint="default" w:ascii="宋体" w:hAnsi="宋体" w:cs="宋体"/>
                <w:color w:val="auto"/>
                <w:szCs w:val="21"/>
                <w:highlight w:val="none"/>
              </w:rPr>
            </w:pPr>
          </w:p>
        </w:tc>
        <w:tc>
          <w:tcPr>
            <w:tcW w:w="2631" w:type="dxa"/>
            <w:tcMar>
              <w:top w:w="0" w:type="dxa"/>
              <w:left w:w="105" w:type="dxa"/>
              <w:bottom w:w="0" w:type="dxa"/>
              <w:right w:w="105" w:type="dxa"/>
            </w:tcMar>
            <w:vAlign w:val="center"/>
          </w:tcPr>
          <w:p>
            <w:pPr>
              <w:keepNext w:val="0"/>
              <w:keepLines w:val="0"/>
              <w:widowControl/>
              <w:suppressLineNumbers w:val="0"/>
              <w:spacing w:before="0" w:beforeAutospacing="0" w:after="0" w:afterAutospacing="0"/>
              <w:ind w:left="0" w:right="0"/>
              <w:jc w:val="left"/>
              <w:rPr>
                <w:rFonts w:hint="default" w:ascii="宋体" w:hAnsi="宋体" w:cs="宋体"/>
                <w:color w:val="auto"/>
                <w:szCs w:val="21"/>
                <w:highlight w:val="none"/>
              </w:rPr>
            </w:pPr>
          </w:p>
        </w:tc>
        <w:tc>
          <w:tcPr>
            <w:tcW w:w="1452" w:type="dxa"/>
            <w:tcMar>
              <w:top w:w="0" w:type="dxa"/>
              <w:left w:w="105" w:type="dxa"/>
              <w:bottom w:w="0" w:type="dxa"/>
              <w:right w:w="105" w:type="dxa"/>
            </w:tcMar>
            <w:vAlign w:val="center"/>
          </w:tcPr>
          <w:p>
            <w:pPr>
              <w:keepNext w:val="0"/>
              <w:keepLines w:val="0"/>
              <w:widowControl/>
              <w:suppressLineNumbers w:val="0"/>
              <w:spacing w:before="0" w:beforeAutospacing="0" w:after="0" w:afterAutospacing="0"/>
              <w:ind w:left="0" w:right="0"/>
              <w:jc w:val="left"/>
              <w:rPr>
                <w:rFonts w:hint="default" w:ascii="宋体" w:hAnsi="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19" w:hRule="atLeast"/>
          <w:tblCellSpacing w:w="15" w:type="dxa"/>
        </w:trPr>
        <w:tc>
          <w:tcPr>
            <w:tcW w:w="864" w:type="dxa"/>
            <w:tcMar>
              <w:top w:w="0" w:type="dxa"/>
              <w:left w:w="105" w:type="dxa"/>
              <w:bottom w:w="0" w:type="dxa"/>
              <w:right w:w="105" w:type="dxa"/>
            </w:tcMar>
            <w:vAlign w:val="center"/>
          </w:tcPr>
          <w:p>
            <w:pPr>
              <w:keepNext w:val="0"/>
              <w:keepLines w:val="0"/>
              <w:widowControl/>
              <w:suppressLineNumbers w:val="0"/>
              <w:spacing w:before="0" w:beforeAutospacing="0" w:after="0" w:afterAutospacing="0"/>
              <w:ind w:left="0" w:right="0"/>
              <w:jc w:val="left"/>
              <w:rPr>
                <w:rFonts w:hint="default" w:ascii="宋体" w:hAnsi="宋体" w:cs="宋体"/>
                <w:color w:val="auto"/>
                <w:szCs w:val="21"/>
                <w:highlight w:val="none"/>
              </w:rPr>
            </w:pPr>
          </w:p>
        </w:tc>
        <w:tc>
          <w:tcPr>
            <w:tcW w:w="1747" w:type="dxa"/>
            <w:tcMar>
              <w:top w:w="0" w:type="dxa"/>
              <w:left w:w="105" w:type="dxa"/>
              <w:bottom w:w="0" w:type="dxa"/>
              <w:right w:w="105" w:type="dxa"/>
            </w:tcMar>
            <w:vAlign w:val="center"/>
          </w:tcPr>
          <w:p>
            <w:pPr>
              <w:keepNext w:val="0"/>
              <w:keepLines w:val="0"/>
              <w:widowControl/>
              <w:suppressLineNumbers w:val="0"/>
              <w:spacing w:before="0" w:beforeAutospacing="0" w:after="0" w:afterAutospacing="0"/>
              <w:ind w:left="0" w:right="0"/>
              <w:jc w:val="left"/>
              <w:rPr>
                <w:rFonts w:hint="default" w:ascii="宋体" w:hAnsi="宋体" w:cs="宋体"/>
                <w:color w:val="auto"/>
                <w:szCs w:val="21"/>
                <w:highlight w:val="none"/>
              </w:rPr>
            </w:pPr>
          </w:p>
        </w:tc>
        <w:tc>
          <w:tcPr>
            <w:tcW w:w="2926" w:type="dxa"/>
            <w:tcMar>
              <w:top w:w="0" w:type="dxa"/>
              <w:left w:w="105" w:type="dxa"/>
              <w:bottom w:w="0" w:type="dxa"/>
              <w:right w:w="105" w:type="dxa"/>
            </w:tcMar>
            <w:vAlign w:val="center"/>
          </w:tcPr>
          <w:p>
            <w:pPr>
              <w:keepNext w:val="0"/>
              <w:keepLines w:val="0"/>
              <w:widowControl/>
              <w:suppressLineNumbers w:val="0"/>
              <w:spacing w:before="0" w:beforeAutospacing="0" w:after="0" w:afterAutospacing="0"/>
              <w:ind w:left="0" w:right="0"/>
              <w:jc w:val="left"/>
              <w:rPr>
                <w:rFonts w:hint="default" w:ascii="宋体" w:hAnsi="宋体" w:cs="宋体"/>
                <w:color w:val="auto"/>
                <w:szCs w:val="21"/>
                <w:highlight w:val="none"/>
              </w:rPr>
            </w:pPr>
          </w:p>
        </w:tc>
        <w:tc>
          <w:tcPr>
            <w:tcW w:w="2631" w:type="dxa"/>
            <w:tcMar>
              <w:top w:w="0" w:type="dxa"/>
              <w:left w:w="105" w:type="dxa"/>
              <w:bottom w:w="0" w:type="dxa"/>
              <w:right w:w="105" w:type="dxa"/>
            </w:tcMar>
            <w:vAlign w:val="center"/>
          </w:tcPr>
          <w:p>
            <w:pPr>
              <w:keepNext w:val="0"/>
              <w:keepLines w:val="0"/>
              <w:widowControl/>
              <w:suppressLineNumbers w:val="0"/>
              <w:spacing w:before="0" w:beforeAutospacing="0" w:after="0" w:afterAutospacing="0"/>
              <w:ind w:left="0" w:right="0"/>
              <w:jc w:val="left"/>
              <w:rPr>
                <w:rFonts w:hint="default" w:ascii="宋体" w:hAnsi="宋体" w:cs="宋体"/>
                <w:color w:val="auto"/>
                <w:szCs w:val="21"/>
                <w:highlight w:val="none"/>
              </w:rPr>
            </w:pPr>
          </w:p>
        </w:tc>
        <w:tc>
          <w:tcPr>
            <w:tcW w:w="1452" w:type="dxa"/>
            <w:tcMar>
              <w:top w:w="0" w:type="dxa"/>
              <w:left w:w="105" w:type="dxa"/>
              <w:bottom w:w="0" w:type="dxa"/>
              <w:right w:w="105" w:type="dxa"/>
            </w:tcMar>
            <w:vAlign w:val="center"/>
          </w:tcPr>
          <w:p>
            <w:pPr>
              <w:keepNext w:val="0"/>
              <w:keepLines w:val="0"/>
              <w:widowControl/>
              <w:suppressLineNumbers w:val="0"/>
              <w:spacing w:before="0" w:beforeAutospacing="0" w:after="0" w:afterAutospacing="0"/>
              <w:ind w:left="0" w:right="0"/>
              <w:jc w:val="left"/>
              <w:rPr>
                <w:rFonts w:hint="default" w:ascii="宋体" w:hAnsi="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46" w:hRule="atLeast"/>
          <w:tblCellSpacing w:w="15" w:type="dxa"/>
        </w:trPr>
        <w:tc>
          <w:tcPr>
            <w:tcW w:w="864" w:type="dxa"/>
            <w:tcMar>
              <w:top w:w="0" w:type="dxa"/>
              <w:left w:w="105" w:type="dxa"/>
              <w:bottom w:w="0" w:type="dxa"/>
              <w:right w:w="105" w:type="dxa"/>
            </w:tcMar>
            <w:vAlign w:val="center"/>
          </w:tcPr>
          <w:p>
            <w:pPr>
              <w:keepNext w:val="0"/>
              <w:keepLines w:val="0"/>
              <w:widowControl/>
              <w:suppressLineNumbers w:val="0"/>
              <w:spacing w:before="0" w:beforeAutospacing="0" w:after="0" w:afterAutospacing="0"/>
              <w:ind w:left="0" w:right="0"/>
              <w:jc w:val="left"/>
              <w:rPr>
                <w:rFonts w:hint="default" w:ascii="宋体" w:hAnsi="宋体" w:cs="宋体"/>
                <w:color w:val="auto"/>
                <w:szCs w:val="21"/>
                <w:highlight w:val="none"/>
              </w:rPr>
            </w:pPr>
          </w:p>
        </w:tc>
        <w:tc>
          <w:tcPr>
            <w:tcW w:w="1747" w:type="dxa"/>
            <w:tcMar>
              <w:top w:w="0" w:type="dxa"/>
              <w:left w:w="105" w:type="dxa"/>
              <w:bottom w:w="0" w:type="dxa"/>
              <w:right w:w="105" w:type="dxa"/>
            </w:tcMar>
            <w:vAlign w:val="center"/>
          </w:tcPr>
          <w:p>
            <w:pPr>
              <w:keepNext w:val="0"/>
              <w:keepLines w:val="0"/>
              <w:widowControl/>
              <w:suppressLineNumbers w:val="0"/>
              <w:spacing w:before="0" w:beforeAutospacing="0" w:after="0" w:afterAutospacing="0"/>
              <w:ind w:left="0" w:right="0"/>
              <w:jc w:val="left"/>
              <w:rPr>
                <w:rFonts w:hint="default" w:ascii="宋体" w:hAnsi="宋体" w:cs="宋体"/>
                <w:color w:val="auto"/>
                <w:szCs w:val="21"/>
                <w:highlight w:val="none"/>
              </w:rPr>
            </w:pPr>
          </w:p>
        </w:tc>
        <w:tc>
          <w:tcPr>
            <w:tcW w:w="2926" w:type="dxa"/>
            <w:tcMar>
              <w:top w:w="0" w:type="dxa"/>
              <w:left w:w="105" w:type="dxa"/>
              <w:bottom w:w="0" w:type="dxa"/>
              <w:right w:w="105" w:type="dxa"/>
            </w:tcMar>
            <w:vAlign w:val="center"/>
          </w:tcPr>
          <w:p>
            <w:pPr>
              <w:keepNext w:val="0"/>
              <w:keepLines w:val="0"/>
              <w:widowControl/>
              <w:suppressLineNumbers w:val="0"/>
              <w:spacing w:before="0" w:beforeAutospacing="0" w:after="0" w:afterAutospacing="0"/>
              <w:ind w:left="0" w:right="0"/>
              <w:jc w:val="left"/>
              <w:rPr>
                <w:rFonts w:hint="default" w:ascii="宋体" w:hAnsi="宋体" w:cs="宋体"/>
                <w:color w:val="auto"/>
                <w:szCs w:val="21"/>
                <w:highlight w:val="none"/>
              </w:rPr>
            </w:pPr>
          </w:p>
        </w:tc>
        <w:tc>
          <w:tcPr>
            <w:tcW w:w="2631" w:type="dxa"/>
            <w:tcMar>
              <w:top w:w="0" w:type="dxa"/>
              <w:left w:w="105" w:type="dxa"/>
              <w:bottom w:w="0" w:type="dxa"/>
              <w:right w:w="105" w:type="dxa"/>
            </w:tcMar>
            <w:vAlign w:val="center"/>
          </w:tcPr>
          <w:p>
            <w:pPr>
              <w:keepNext w:val="0"/>
              <w:keepLines w:val="0"/>
              <w:widowControl/>
              <w:suppressLineNumbers w:val="0"/>
              <w:spacing w:before="0" w:beforeAutospacing="0" w:after="0" w:afterAutospacing="0"/>
              <w:ind w:left="0" w:right="0"/>
              <w:jc w:val="left"/>
              <w:rPr>
                <w:rFonts w:hint="default" w:ascii="宋体" w:hAnsi="宋体" w:cs="宋体"/>
                <w:color w:val="auto"/>
                <w:szCs w:val="21"/>
                <w:highlight w:val="none"/>
              </w:rPr>
            </w:pPr>
          </w:p>
        </w:tc>
        <w:tc>
          <w:tcPr>
            <w:tcW w:w="1452" w:type="dxa"/>
            <w:tcMar>
              <w:top w:w="0" w:type="dxa"/>
              <w:left w:w="105" w:type="dxa"/>
              <w:bottom w:w="0" w:type="dxa"/>
              <w:right w:w="105" w:type="dxa"/>
            </w:tcMar>
            <w:vAlign w:val="center"/>
          </w:tcPr>
          <w:p>
            <w:pPr>
              <w:keepNext w:val="0"/>
              <w:keepLines w:val="0"/>
              <w:widowControl/>
              <w:suppressLineNumbers w:val="0"/>
              <w:spacing w:before="0" w:beforeAutospacing="0" w:after="0" w:afterAutospacing="0"/>
              <w:ind w:left="0" w:right="0"/>
              <w:jc w:val="left"/>
              <w:rPr>
                <w:rFonts w:hint="default" w:ascii="宋体" w:hAnsi="宋体" w:cs="宋体"/>
                <w:color w:val="auto"/>
                <w:szCs w:val="21"/>
                <w:highlight w:val="none"/>
              </w:rPr>
            </w:pPr>
          </w:p>
        </w:tc>
      </w:tr>
    </w:tbl>
    <w:p>
      <w:pPr>
        <w:pStyle w:val="12"/>
        <w:widowControl/>
        <w:spacing w:before="75" w:beforeAutospacing="0" w:after="75" w:afterAutospacing="0" w:line="375" w:lineRule="atLeast"/>
        <w:rPr>
          <w:rFonts w:ascii="宋体" w:hAnsi="宋体" w:cs="宋体"/>
          <w:color w:val="auto"/>
          <w:sz w:val="21"/>
          <w:szCs w:val="21"/>
          <w:highlight w:val="none"/>
        </w:rPr>
      </w:pPr>
      <w:r>
        <w:rPr>
          <w:rStyle w:val="18"/>
          <w:rFonts w:hint="eastAsia" w:ascii="宋体" w:hAnsi="宋体" w:cs="宋体"/>
          <w:color w:val="auto"/>
          <w:sz w:val="21"/>
          <w:szCs w:val="21"/>
          <w:highlight w:val="none"/>
        </w:rPr>
        <w:t>注：（1）竞争性磋商文件（含技术和服务要求等）规定的各相关条款要求，如果供应商在响应文件中没有以书面方式对竞争性磋商文件规定的各项要求和条款提出不满足或不响应或负偏离，则视为供应商能够完全理解并满足本竞争性磋商文件规定的各相关条款要求。如有不满足或不响应或负偏离，不管是多么微小，供应商都应在响应文件中按上表格式加以如实详细说明，否则，供应商成交后才提出或者被采购人发现的任何负偏离或不响应或不满足均视为成交供应商违约，按供应商虚假承诺骗取成交处理，采购人将取消其成交供应商资格，其磋商保证金（如果未签订合同）将不予退还，给采购人和采购代理机构造成损失的，还必须进行赔偿并负相关责任。</w:t>
      </w:r>
    </w:p>
    <w:p>
      <w:pPr>
        <w:pStyle w:val="12"/>
        <w:widowControl/>
        <w:spacing w:before="75" w:beforeAutospacing="0" w:after="75" w:afterAutospacing="0" w:line="375" w:lineRule="atLeast"/>
        <w:rPr>
          <w:rFonts w:ascii="宋体" w:hAnsi="宋体" w:cs="宋体"/>
          <w:color w:val="auto"/>
          <w:sz w:val="21"/>
          <w:szCs w:val="21"/>
          <w:highlight w:val="none"/>
        </w:rPr>
      </w:pPr>
      <w:r>
        <w:rPr>
          <w:rStyle w:val="18"/>
          <w:rFonts w:hint="eastAsia" w:ascii="宋体" w:hAnsi="宋体" w:cs="宋体"/>
          <w:color w:val="auto"/>
          <w:sz w:val="21"/>
          <w:szCs w:val="21"/>
          <w:highlight w:val="none"/>
        </w:rPr>
        <w:t>（2）磋商文件不能详细列明采购标的的技术、服务要求，需经磋商由供应商提供最终设计方案或解决方案的；或者供应商需要说明的内容需要通过图片、视频等特殊表达；无法适用上表格式文字说明的，则供应商可在本表中进行相应说明和页码索引，再另页具体提交应答。</w:t>
      </w:r>
    </w:p>
    <w:p>
      <w:pPr>
        <w:pStyle w:val="12"/>
        <w:widowControl/>
        <w:spacing w:before="75" w:beforeAutospacing="0" w:after="75" w:afterAutospacing="0" w:line="375" w:lineRule="atLeast"/>
        <w:rPr>
          <w:rFonts w:ascii="宋体" w:hAnsi="宋体" w:cs="宋体"/>
          <w:color w:val="auto"/>
          <w:sz w:val="21"/>
          <w:szCs w:val="21"/>
          <w:highlight w:val="none"/>
        </w:rPr>
      </w:pPr>
      <w:r>
        <w:rPr>
          <w:rFonts w:hint="eastAsia" w:ascii="宋体" w:hAnsi="宋体" w:cs="宋体"/>
          <w:color w:val="auto"/>
          <w:sz w:val="21"/>
          <w:szCs w:val="21"/>
          <w:highlight w:val="none"/>
        </w:rPr>
        <w:t>供应商代表签字： _________________</w:t>
      </w:r>
    </w:p>
    <w:p>
      <w:pPr>
        <w:pStyle w:val="12"/>
        <w:widowControl/>
        <w:spacing w:before="75" w:beforeAutospacing="0" w:after="75" w:afterAutospacing="0" w:line="420" w:lineRule="atLeast"/>
        <w:jc w:val="center"/>
        <w:rPr>
          <w:rFonts w:ascii="宋体" w:hAnsi="宋体" w:cs="宋体"/>
          <w:color w:val="auto"/>
          <w:sz w:val="21"/>
          <w:szCs w:val="21"/>
          <w:highlight w:val="none"/>
        </w:rPr>
      </w:pPr>
    </w:p>
    <w:p>
      <w:pPr>
        <w:pStyle w:val="12"/>
        <w:widowControl/>
        <w:spacing w:before="75" w:beforeAutospacing="0" w:after="75" w:afterAutospacing="0" w:line="420" w:lineRule="atLeast"/>
        <w:jc w:val="center"/>
        <w:rPr>
          <w:rFonts w:ascii="宋体" w:hAnsi="宋体" w:cs="宋体"/>
          <w:color w:val="auto"/>
          <w:sz w:val="21"/>
          <w:szCs w:val="21"/>
          <w:highlight w:val="none"/>
        </w:rPr>
      </w:pPr>
      <w:r>
        <w:rPr>
          <w:rFonts w:hint="eastAsia" w:ascii="宋体" w:hAnsi="宋体" w:cs="宋体"/>
          <w:color w:val="auto"/>
          <w:sz w:val="21"/>
          <w:szCs w:val="21"/>
          <w:highlight w:val="none"/>
        </w:rPr>
        <w:br w:type="page"/>
      </w:r>
      <w:r>
        <w:rPr>
          <w:rFonts w:hint="eastAsia" w:ascii="宋体" w:hAnsi="宋体" w:cs="宋体"/>
          <w:b/>
          <w:bCs/>
          <w:color w:val="auto"/>
          <w:sz w:val="21"/>
          <w:szCs w:val="21"/>
          <w:highlight w:val="none"/>
        </w:rPr>
        <w:t>附件6  </w:t>
      </w:r>
      <w:r>
        <w:rPr>
          <w:rStyle w:val="18"/>
          <w:rFonts w:hint="eastAsia" w:ascii="宋体" w:hAnsi="宋体" w:cs="宋体"/>
          <w:bCs/>
          <w:color w:val="auto"/>
          <w:sz w:val="21"/>
          <w:szCs w:val="21"/>
          <w:highlight w:val="none"/>
        </w:rPr>
        <w:t>相关技术、商务、服务响应承诺及资料</w:t>
      </w:r>
    </w:p>
    <w:p>
      <w:pPr>
        <w:pStyle w:val="12"/>
        <w:widowControl/>
        <w:spacing w:before="75" w:beforeAutospacing="0" w:after="75" w:afterAutospacing="0" w:line="420" w:lineRule="atLeast"/>
        <w:rPr>
          <w:rFonts w:ascii="宋体" w:hAnsi="宋体" w:cs="宋体"/>
          <w:color w:val="auto"/>
          <w:sz w:val="21"/>
          <w:szCs w:val="21"/>
          <w:highlight w:val="none"/>
        </w:rPr>
      </w:pPr>
      <w:r>
        <w:rPr>
          <w:rFonts w:hint="eastAsia" w:ascii="宋体" w:hAnsi="宋体" w:cs="宋体"/>
          <w:color w:val="auto"/>
          <w:sz w:val="21"/>
          <w:szCs w:val="21"/>
          <w:highlight w:val="none"/>
        </w:rPr>
        <w:t> </w:t>
      </w:r>
    </w:p>
    <w:p>
      <w:pPr>
        <w:pStyle w:val="12"/>
        <w:widowControl/>
        <w:spacing w:before="75" w:beforeAutospacing="0" w:after="75" w:afterAutospacing="0" w:line="495" w:lineRule="atLeast"/>
        <w:rPr>
          <w:rFonts w:ascii="宋体" w:hAnsi="宋体" w:cs="宋体"/>
          <w:color w:val="auto"/>
          <w:sz w:val="21"/>
          <w:szCs w:val="21"/>
          <w:highlight w:val="none"/>
        </w:rPr>
      </w:pPr>
      <w:r>
        <w:rPr>
          <w:rStyle w:val="18"/>
          <w:rFonts w:hint="eastAsia" w:ascii="宋体" w:hAnsi="宋体" w:cs="宋体"/>
          <w:color w:val="auto"/>
          <w:sz w:val="21"/>
          <w:szCs w:val="21"/>
          <w:highlight w:val="none"/>
        </w:rPr>
        <w:t>说明：    </w:t>
      </w:r>
    </w:p>
    <w:p>
      <w:pPr>
        <w:pStyle w:val="12"/>
        <w:widowControl/>
        <w:spacing w:before="75" w:beforeAutospacing="0" w:after="75" w:afterAutospacing="0" w:line="495" w:lineRule="atLeast"/>
        <w:rPr>
          <w:rFonts w:ascii="宋体" w:hAnsi="宋体" w:cs="宋体"/>
          <w:color w:val="auto"/>
          <w:sz w:val="21"/>
          <w:szCs w:val="21"/>
          <w:highlight w:val="none"/>
        </w:rPr>
      </w:pPr>
      <w:r>
        <w:rPr>
          <w:rFonts w:hint="eastAsia" w:ascii="宋体" w:hAnsi="宋体" w:cs="宋体"/>
          <w:color w:val="auto"/>
          <w:sz w:val="21"/>
          <w:szCs w:val="21"/>
          <w:highlight w:val="none"/>
        </w:rPr>
        <w:t>  1.采购人或采购代理机构可以根据项目的特点和需要，在磋商文件中对供应商需要提供的相关技术、商务、服务响应承诺及资料进行具体规定或附表格式，供应商应按照磋商文件要求提供相关承诺及材料，并加盖供应商单位公章。</w:t>
      </w:r>
    </w:p>
    <w:p>
      <w:pPr>
        <w:pStyle w:val="12"/>
        <w:widowControl/>
        <w:spacing w:before="75" w:beforeAutospacing="0" w:after="75" w:afterAutospacing="0" w:line="495" w:lineRule="atLeast"/>
        <w:rPr>
          <w:rFonts w:ascii="宋体" w:hAnsi="宋体" w:cs="宋体"/>
          <w:color w:val="auto"/>
          <w:sz w:val="21"/>
          <w:szCs w:val="21"/>
          <w:highlight w:val="none"/>
        </w:rPr>
      </w:pPr>
      <w:r>
        <w:rPr>
          <w:rFonts w:hint="eastAsia" w:ascii="宋体" w:hAnsi="宋体" w:cs="宋体"/>
          <w:color w:val="auto"/>
          <w:sz w:val="21"/>
          <w:szCs w:val="21"/>
          <w:highlight w:val="none"/>
        </w:rPr>
        <w:t>  2.如果没有特别要求的，供应商根据磋商文件的要求以及特点，提供相关技术、商务、服务响应承诺及资料，格式自拟。</w:t>
      </w:r>
    </w:p>
    <w:p>
      <w:pPr>
        <w:pStyle w:val="12"/>
        <w:widowControl/>
        <w:spacing w:before="75" w:beforeAutospacing="0" w:after="75" w:afterAutospacing="0" w:line="495" w:lineRule="atLeast"/>
        <w:rPr>
          <w:rFonts w:ascii="宋体" w:hAnsi="宋体" w:cs="宋体"/>
          <w:color w:val="auto"/>
          <w:sz w:val="21"/>
          <w:szCs w:val="21"/>
          <w:highlight w:val="none"/>
        </w:rPr>
      </w:pPr>
      <w:r>
        <w:rPr>
          <w:rStyle w:val="18"/>
          <w:rFonts w:hint="eastAsia" w:ascii="宋体" w:hAnsi="宋体" w:cs="宋体"/>
          <w:color w:val="auto"/>
          <w:sz w:val="21"/>
          <w:szCs w:val="21"/>
          <w:highlight w:val="none"/>
        </w:rPr>
        <w:t> </w:t>
      </w:r>
    </w:p>
    <w:p>
      <w:pPr>
        <w:pStyle w:val="12"/>
        <w:widowControl/>
        <w:spacing w:before="75" w:beforeAutospacing="0" w:after="75" w:afterAutospacing="0" w:line="495" w:lineRule="atLeast"/>
        <w:rPr>
          <w:rFonts w:ascii="宋体" w:hAnsi="宋体" w:cs="宋体"/>
          <w:color w:val="auto"/>
          <w:sz w:val="21"/>
          <w:szCs w:val="21"/>
          <w:highlight w:val="none"/>
        </w:rPr>
      </w:pPr>
      <w:r>
        <w:rPr>
          <w:rStyle w:val="18"/>
          <w:rFonts w:hint="eastAsia" w:ascii="宋体" w:hAnsi="宋体" w:cs="宋体"/>
          <w:color w:val="auto"/>
          <w:sz w:val="21"/>
          <w:szCs w:val="21"/>
          <w:highlight w:val="none"/>
        </w:rPr>
        <w:t> </w:t>
      </w:r>
    </w:p>
    <w:p>
      <w:pPr>
        <w:pStyle w:val="12"/>
        <w:widowControl/>
        <w:spacing w:before="75" w:beforeAutospacing="0" w:after="75" w:afterAutospacing="0" w:line="420" w:lineRule="atLeast"/>
        <w:ind w:firstLine="480"/>
        <w:rPr>
          <w:rFonts w:ascii="宋体" w:hAnsi="宋体" w:cs="宋体"/>
          <w:color w:val="auto"/>
          <w:sz w:val="21"/>
          <w:szCs w:val="21"/>
          <w:highlight w:val="none"/>
        </w:rPr>
      </w:pPr>
      <w:r>
        <w:rPr>
          <w:rFonts w:hint="eastAsia" w:ascii="宋体" w:hAnsi="宋体" w:cs="宋体"/>
          <w:color w:val="auto"/>
          <w:sz w:val="21"/>
          <w:szCs w:val="21"/>
          <w:highlight w:val="none"/>
        </w:rPr>
        <w:t> </w:t>
      </w:r>
    </w:p>
    <w:p>
      <w:pPr>
        <w:pStyle w:val="12"/>
        <w:widowControl/>
        <w:spacing w:before="75" w:beforeAutospacing="0" w:after="75" w:afterAutospacing="0" w:line="420" w:lineRule="atLeast"/>
        <w:ind w:firstLine="480"/>
        <w:rPr>
          <w:rFonts w:ascii="宋体" w:hAnsi="宋体" w:cs="宋体"/>
          <w:color w:val="auto"/>
          <w:sz w:val="21"/>
          <w:szCs w:val="21"/>
          <w:highlight w:val="none"/>
        </w:rPr>
      </w:pPr>
      <w:r>
        <w:rPr>
          <w:rFonts w:hint="eastAsia" w:ascii="宋体" w:hAnsi="宋体" w:cs="宋体"/>
          <w:color w:val="auto"/>
          <w:sz w:val="21"/>
          <w:szCs w:val="21"/>
          <w:highlight w:val="none"/>
        </w:rPr>
        <w:t> </w:t>
      </w:r>
    </w:p>
    <w:p>
      <w:pPr>
        <w:pStyle w:val="12"/>
        <w:widowControl/>
        <w:spacing w:before="75" w:beforeAutospacing="0" w:after="75" w:afterAutospacing="0" w:line="435" w:lineRule="atLeast"/>
        <w:jc w:val="both"/>
        <w:rPr>
          <w:rFonts w:ascii="宋体" w:hAnsi="宋体" w:cs="宋体"/>
          <w:color w:val="auto"/>
          <w:sz w:val="21"/>
          <w:szCs w:val="21"/>
          <w:highlight w:val="none"/>
        </w:rPr>
      </w:pPr>
      <w:r>
        <w:rPr>
          <w:rFonts w:hint="eastAsia" w:ascii="宋体" w:hAnsi="宋体" w:cs="宋体"/>
          <w:color w:val="auto"/>
          <w:sz w:val="21"/>
          <w:szCs w:val="21"/>
          <w:highlight w:val="none"/>
        </w:rPr>
        <w:t>供应商代表：</w:t>
      </w:r>
      <w:r>
        <w:rPr>
          <w:rFonts w:hint="eastAsia" w:ascii="宋体" w:hAnsi="宋体" w:cs="宋体"/>
          <w:color w:val="auto"/>
          <w:sz w:val="21"/>
          <w:szCs w:val="21"/>
          <w:highlight w:val="none"/>
          <w:u w:val="single"/>
        </w:rPr>
        <w:t>             （签字） </w:t>
      </w:r>
    </w:p>
    <w:p>
      <w:pPr>
        <w:pStyle w:val="12"/>
        <w:widowControl/>
        <w:spacing w:before="75" w:beforeAutospacing="0" w:after="75" w:afterAutospacing="0" w:line="435" w:lineRule="atLeast"/>
        <w:jc w:val="both"/>
        <w:rPr>
          <w:rFonts w:ascii="宋体" w:hAnsi="宋体" w:cs="宋体"/>
          <w:color w:val="auto"/>
          <w:sz w:val="21"/>
          <w:szCs w:val="21"/>
          <w:highlight w:val="none"/>
        </w:rPr>
      </w:pPr>
      <w:r>
        <w:rPr>
          <w:rFonts w:hint="eastAsia" w:ascii="宋体" w:hAnsi="宋体" w:cs="宋体"/>
          <w:color w:val="auto"/>
          <w:sz w:val="21"/>
          <w:szCs w:val="21"/>
          <w:highlight w:val="none"/>
        </w:rPr>
        <w:t>供应商名称：</w:t>
      </w:r>
      <w:r>
        <w:rPr>
          <w:rFonts w:hint="eastAsia" w:ascii="宋体" w:hAnsi="宋体" w:cs="宋体"/>
          <w:color w:val="auto"/>
          <w:sz w:val="21"/>
          <w:szCs w:val="21"/>
          <w:highlight w:val="none"/>
          <w:u w:val="single"/>
        </w:rPr>
        <w:t>         （全称并加盖公章）              </w:t>
      </w:r>
    </w:p>
    <w:p>
      <w:pPr>
        <w:pStyle w:val="12"/>
        <w:widowControl/>
        <w:spacing w:before="75" w:beforeAutospacing="0" w:after="75" w:afterAutospacing="0" w:line="435" w:lineRule="atLeast"/>
        <w:rPr>
          <w:rFonts w:ascii="宋体" w:hAnsi="宋体" w:cs="宋体"/>
          <w:color w:val="auto"/>
          <w:sz w:val="21"/>
          <w:szCs w:val="21"/>
          <w:highlight w:val="none"/>
        </w:rPr>
      </w:pPr>
      <w:r>
        <w:rPr>
          <w:rFonts w:hint="eastAsia" w:ascii="宋体" w:hAnsi="宋体" w:cs="宋体"/>
          <w:color w:val="auto"/>
          <w:sz w:val="21"/>
          <w:szCs w:val="21"/>
          <w:highlight w:val="none"/>
        </w:rPr>
        <w:t>日  期： </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年 </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月 </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日</w:t>
      </w:r>
    </w:p>
    <w:p>
      <w:pPr>
        <w:pStyle w:val="12"/>
        <w:widowControl/>
        <w:spacing w:before="75" w:beforeAutospacing="0" w:after="75" w:afterAutospacing="0" w:line="420" w:lineRule="atLeast"/>
        <w:ind w:firstLine="480"/>
        <w:rPr>
          <w:rFonts w:ascii="宋体" w:hAnsi="宋体" w:cs="宋体"/>
          <w:color w:val="auto"/>
          <w:sz w:val="21"/>
          <w:szCs w:val="21"/>
          <w:highlight w:val="none"/>
        </w:rPr>
      </w:pPr>
      <w:r>
        <w:rPr>
          <w:rFonts w:hint="eastAsia" w:ascii="宋体" w:hAnsi="宋体" w:cs="宋体"/>
          <w:color w:val="auto"/>
          <w:sz w:val="21"/>
          <w:szCs w:val="21"/>
          <w:highlight w:val="none"/>
        </w:rPr>
        <w:t> </w:t>
      </w:r>
    </w:p>
    <w:p>
      <w:pPr>
        <w:pStyle w:val="12"/>
        <w:widowControl/>
        <w:spacing w:before="75" w:beforeAutospacing="0" w:after="75" w:afterAutospacing="0" w:line="495" w:lineRule="atLeast"/>
        <w:rPr>
          <w:rFonts w:ascii="宋体" w:hAnsi="宋体" w:cs="宋体"/>
          <w:color w:val="auto"/>
          <w:sz w:val="21"/>
          <w:szCs w:val="21"/>
          <w:highlight w:val="none"/>
        </w:rPr>
      </w:pPr>
      <w:r>
        <w:rPr>
          <w:rFonts w:hint="eastAsia" w:ascii="宋体" w:hAnsi="宋体" w:cs="宋体"/>
          <w:color w:val="auto"/>
          <w:sz w:val="21"/>
          <w:szCs w:val="21"/>
          <w:highlight w:val="none"/>
        </w:rPr>
        <w:t> </w:t>
      </w:r>
    </w:p>
    <w:p>
      <w:pPr>
        <w:pStyle w:val="12"/>
        <w:widowControl/>
        <w:spacing w:before="75" w:beforeAutospacing="0" w:after="75" w:afterAutospacing="0" w:line="495" w:lineRule="atLeast"/>
        <w:rPr>
          <w:rFonts w:ascii="宋体" w:hAnsi="宋体" w:cs="宋体"/>
          <w:color w:val="auto"/>
          <w:sz w:val="21"/>
          <w:szCs w:val="21"/>
          <w:highlight w:val="none"/>
        </w:rPr>
      </w:pPr>
      <w:r>
        <w:rPr>
          <w:rStyle w:val="18"/>
          <w:rFonts w:hint="eastAsia" w:ascii="宋体" w:hAnsi="宋体" w:cs="宋体"/>
          <w:color w:val="auto"/>
          <w:sz w:val="21"/>
          <w:szCs w:val="21"/>
          <w:highlight w:val="none"/>
        </w:rPr>
        <w:t> </w:t>
      </w:r>
    </w:p>
    <w:p>
      <w:pPr>
        <w:pStyle w:val="12"/>
        <w:widowControl/>
        <w:spacing w:before="75" w:beforeAutospacing="0" w:after="75" w:afterAutospacing="0" w:line="495" w:lineRule="atLeast"/>
        <w:rPr>
          <w:rFonts w:ascii="宋体" w:hAnsi="宋体" w:cs="宋体"/>
          <w:color w:val="auto"/>
          <w:sz w:val="21"/>
          <w:szCs w:val="21"/>
          <w:highlight w:val="none"/>
        </w:rPr>
      </w:pPr>
      <w:r>
        <w:rPr>
          <w:rStyle w:val="18"/>
          <w:rFonts w:hint="eastAsia" w:ascii="宋体" w:hAnsi="宋体" w:cs="宋体"/>
          <w:color w:val="auto"/>
          <w:sz w:val="21"/>
          <w:szCs w:val="21"/>
          <w:highlight w:val="none"/>
        </w:rPr>
        <w:t> </w:t>
      </w:r>
    </w:p>
    <w:p>
      <w:pPr>
        <w:pStyle w:val="12"/>
        <w:widowControl/>
        <w:spacing w:before="75" w:beforeAutospacing="0" w:after="75" w:afterAutospacing="0" w:line="495" w:lineRule="atLeast"/>
        <w:rPr>
          <w:rFonts w:ascii="宋体" w:hAnsi="宋体" w:cs="宋体"/>
          <w:color w:val="auto"/>
          <w:sz w:val="21"/>
          <w:szCs w:val="21"/>
          <w:highlight w:val="none"/>
        </w:rPr>
      </w:pPr>
      <w:r>
        <w:rPr>
          <w:rStyle w:val="18"/>
          <w:rFonts w:hint="eastAsia" w:ascii="宋体" w:hAnsi="宋体" w:cs="宋体"/>
          <w:color w:val="auto"/>
          <w:sz w:val="21"/>
          <w:szCs w:val="21"/>
          <w:highlight w:val="none"/>
        </w:rPr>
        <w:t> </w:t>
      </w:r>
    </w:p>
    <w:p>
      <w:pPr>
        <w:pStyle w:val="12"/>
        <w:widowControl/>
        <w:spacing w:before="75" w:beforeAutospacing="0" w:after="75" w:afterAutospacing="0"/>
        <w:rPr>
          <w:rFonts w:ascii="宋体" w:hAnsi="宋体" w:cs="宋体"/>
          <w:color w:val="auto"/>
          <w:sz w:val="21"/>
          <w:szCs w:val="21"/>
          <w:highlight w:val="none"/>
        </w:rPr>
      </w:pPr>
      <w:r>
        <w:rPr>
          <w:rFonts w:hint="eastAsia" w:ascii="宋体" w:hAnsi="宋体" w:cs="宋体"/>
          <w:color w:val="auto"/>
          <w:sz w:val="21"/>
          <w:szCs w:val="21"/>
          <w:highlight w:val="none"/>
        </w:rPr>
        <w:t> </w:t>
      </w:r>
    </w:p>
    <w:p>
      <w:pPr>
        <w:pStyle w:val="12"/>
        <w:widowControl/>
        <w:spacing w:before="75" w:beforeAutospacing="0" w:after="75" w:afterAutospacing="0" w:line="420" w:lineRule="atLeast"/>
        <w:rPr>
          <w:rFonts w:ascii="宋体" w:hAnsi="宋体" w:cs="宋体"/>
          <w:color w:val="auto"/>
          <w:sz w:val="21"/>
          <w:szCs w:val="21"/>
          <w:highlight w:val="none"/>
        </w:rPr>
      </w:pPr>
      <w:r>
        <w:rPr>
          <w:rFonts w:hint="eastAsia" w:ascii="宋体" w:hAnsi="宋体" w:cs="宋体"/>
          <w:color w:val="auto"/>
          <w:sz w:val="21"/>
          <w:szCs w:val="21"/>
          <w:highlight w:val="none"/>
        </w:rPr>
        <w:t> </w:t>
      </w:r>
    </w:p>
    <w:p>
      <w:pPr>
        <w:pStyle w:val="12"/>
        <w:widowControl/>
        <w:spacing w:before="75" w:beforeAutospacing="0" w:after="75" w:afterAutospacing="0" w:line="465" w:lineRule="atLeast"/>
        <w:rPr>
          <w:rFonts w:ascii="宋体" w:hAnsi="宋体" w:cs="宋体"/>
          <w:color w:val="auto"/>
          <w:sz w:val="21"/>
          <w:szCs w:val="21"/>
          <w:highlight w:val="none"/>
        </w:rPr>
      </w:pPr>
      <w:r>
        <w:rPr>
          <w:rFonts w:hint="eastAsia" w:ascii="宋体" w:hAnsi="宋体" w:cs="宋体"/>
          <w:color w:val="auto"/>
          <w:sz w:val="21"/>
          <w:szCs w:val="21"/>
          <w:highlight w:val="none"/>
        </w:rPr>
        <w:t> </w:t>
      </w:r>
    </w:p>
    <w:p>
      <w:pPr>
        <w:pStyle w:val="12"/>
        <w:widowControl/>
        <w:spacing w:before="75" w:beforeAutospacing="0" w:after="75" w:afterAutospacing="0" w:line="465" w:lineRule="atLeast"/>
        <w:rPr>
          <w:rFonts w:ascii="宋体" w:hAnsi="宋体" w:cs="宋体"/>
          <w:color w:val="auto"/>
          <w:sz w:val="21"/>
          <w:szCs w:val="21"/>
          <w:highlight w:val="none"/>
        </w:rPr>
      </w:pPr>
      <w:r>
        <w:rPr>
          <w:rFonts w:hint="eastAsia" w:ascii="宋体" w:hAnsi="宋体" w:cs="宋体"/>
          <w:color w:val="auto"/>
          <w:sz w:val="21"/>
          <w:szCs w:val="21"/>
          <w:highlight w:val="none"/>
        </w:rPr>
        <w:br w:type="textWrapping"/>
      </w:r>
    </w:p>
    <w:p>
      <w:pPr>
        <w:pStyle w:val="12"/>
        <w:widowControl/>
        <w:spacing w:before="75" w:beforeAutospacing="0" w:after="75" w:afterAutospacing="0" w:line="465" w:lineRule="atLeast"/>
        <w:jc w:val="center"/>
        <w:rPr>
          <w:rFonts w:ascii="宋体" w:hAnsi="宋体" w:cs="宋体"/>
          <w:b/>
          <w:bCs/>
          <w:color w:val="auto"/>
          <w:sz w:val="21"/>
          <w:szCs w:val="21"/>
          <w:highlight w:val="none"/>
        </w:rPr>
      </w:pPr>
      <w:r>
        <w:rPr>
          <w:rFonts w:hint="eastAsia" w:ascii="宋体" w:hAnsi="宋体" w:cs="宋体"/>
          <w:color w:val="auto"/>
          <w:sz w:val="21"/>
          <w:szCs w:val="21"/>
          <w:highlight w:val="none"/>
        </w:rPr>
        <w:br w:type="page"/>
      </w:r>
      <w:r>
        <w:rPr>
          <w:rFonts w:hint="eastAsia" w:ascii="宋体" w:hAnsi="宋体" w:cs="宋体"/>
          <w:b/>
          <w:bCs/>
          <w:color w:val="auto"/>
          <w:sz w:val="21"/>
          <w:szCs w:val="21"/>
          <w:highlight w:val="none"/>
        </w:rPr>
        <w:t>附件7   </w:t>
      </w:r>
      <w:r>
        <w:rPr>
          <w:rStyle w:val="18"/>
          <w:rFonts w:hint="eastAsia" w:ascii="宋体" w:hAnsi="宋体" w:cs="宋体"/>
          <w:bCs/>
          <w:color w:val="auto"/>
          <w:sz w:val="21"/>
          <w:szCs w:val="21"/>
          <w:highlight w:val="none"/>
        </w:rPr>
        <w:t>供应商提交符合政府采购政策的证明材料</w:t>
      </w:r>
    </w:p>
    <w:p>
      <w:pPr>
        <w:pStyle w:val="12"/>
        <w:widowControl/>
        <w:spacing w:before="75" w:beforeAutospacing="0" w:after="75" w:afterAutospacing="0" w:line="420" w:lineRule="atLeast"/>
        <w:ind w:firstLine="480"/>
        <w:jc w:val="center"/>
        <w:rPr>
          <w:rFonts w:ascii="宋体" w:hAnsi="宋体" w:cs="宋体"/>
          <w:b/>
          <w:bCs/>
          <w:color w:val="auto"/>
          <w:sz w:val="21"/>
          <w:szCs w:val="21"/>
          <w:highlight w:val="none"/>
        </w:rPr>
      </w:pPr>
    </w:p>
    <w:p>
      <w:pPr>
        <w:pStyle w:val="12"/>
        <w:widowControl/>
        <w:spacing w:before="75" w:beforeAutospacing="0" w:after="75" w:afterAutospacing="0"/>
        <w:jc w:val="center"/>
        <w:rPr>
          <w:rFonts w:ascii="宋体" w:hAnsi="宋体" w:cs="宋体"/>
          <w:b/>
          <w:bCs/>
          <w:color w:val="auto"/>
          <w:sz w:val="21"/>
          <w:szCs w:val="21"/>
          <w:highlight w:val="none"/>
        </w:rPr>
      </w:pPr>
      <w:bookmarkStart w:id="35" w:name="_Toc1307_WPSOffice_Level1"/>
      <w:r>
        <w:rPr>
          <w:rFonts w:hint="eastAsia" w:ascii="宋体" w:hAnsi="宋体" w:cs="宋体"/>
          <w:b/>
          <w:bCs/>
          <w:color w:val="auto"/>
          <w:sz w:val="21"/>
          <w:szCs w:val="21"/>
          <w:highlight w:val="none"/>
        </w:rPr>
        <w:t>附件7-1-1    </w:t>
      </w:r>
      <w:r>
        <w:rPr>
          <w:rStyle w:val="18"/>
          <w:rFonts w:hint="eastAsia" w:ascii="宋体" w:hAnsi="宋体" w:cs="宋体"/>
          <w:bCs/>
          <w:color w:val="auto"/>
          <w:sz w:val="21"/>
          <w:szCs w:val="21"/>
          <w:highlight w:val="none"/>
        </w:rPr>
        <w:t>中小企业声明函</w:t>
      </w:r>
      <w:bookmarkEnd w:id="35"/>
      <w:r>
        <w:rPr>
          <w:rStyle w:val="18"/>
          <w:rFonts w:hint="eastAsia" w:ascii="宋体" w:hAnsi="宋体" w:cs="宋体"/>
          <w:bCs/>
          <w:color w:val="auto"/>
          <w:sz w:val="21"/>
          <w:szCs w:val="21"/>
          <w:highlight w:val="none"/>
        </w:rPr>
        <w:t>（若有）</w:t>
      </w:r>
    </w:p>
    <w:p>
      <w:pPr>
        <w:pStyle w:val="12"/>
        <w:widowControl/>
        <w:spacing w:before="75" w:beforeAutospacing="0" w:after="75" w:afterAutospacing="0" w:line="315" w:lineRule="atLeast"/>
        <w:jc w:val="both"/>
        <w:rPr>
          <w:rFonts w:ascii="宋体" w:hAnsi="宋体" w:cs="宋体"/>
          <w:color w:val="auto"/>
          <w:sz w:val="21"/>
          <w:szCs w:val="21"/>
          <w:highlight w:val="none"/>
        </w:rPr>
      </w:pPr>
      <w:r>
        <w:rPr>
          <w:rFonts w:hint="eastAsia" w:ascii="宋体" w:hAnsi="宋体" w:cs="宋体"/>
          <w:color w:val="auto"/>
          <w:sz w:val="21"/>
          <w:szCs w:val="21"/>
          <w:highlight w:val="none"/>
        </w:rPr>
        <w:t> </w:t>
      </w:r>
    </w:p>
    <w:p>
      <w:pPr>
        <w:pStyle w:val="12"/>
        <w:widowControl/>
        <w:spacing w:before="75" w:beforeAutospacing="0" w:after="75" w:afterAutospacing="0"/>
        <w:ind w:firstLine="2880"/>
        <w:rPr>
          <w:b/>
          <w:bCs/>
          <w:color w:val="auto"/>
          <w:highlight w:val="none"/>
        </w:rPr>
      </w:pPr>
      <w:bookmarkStart w:id="36" w:name="_Toc9856_WPSOffice_Level1"/>
      <w:r>
        <w:rPr>
          <w:rFonts w:hint="eastAsia" w:ascii="宋体" w:hAnsi="宋体" w:cs="宋体"/>
          <w:color w:val="auto"/>
          <w:sz w:val="21"/>
          <w:szCs w:val="21"/>
          <w:highlight w:val="none"/>
        </w:rPr>
        <w:t xml:space="preserve"> </w:t>
      </w:r>
      <w:r>
        <w:rPr>
          <w:b/>
          <w:bCs/>
          <w:color w:val="auto"/>
          <w:highlight w:val="none"/>
        </w:rPr>
        <w:t>中小企业声明函（货物）</w:t>
      </w:r>
    </w:p>
    <w:p>
      <w:pPr>
        <w:pStyle w:val="12"/>
        <w:widowControl/>
        <w:spacing w:before="75" w:beforeAutospacing="0" w:after="75" w:afterAutospacing="0"/>
        <w:ind w:firstLine="2880"/>
        <w:rPr>
          <w:color w:val="auto"/>
          <w:highlight w:val="none"/>
        </w:rPr>
      </w:pPr>
      <w:r>
        <w:rPr>
          <w:color w:val="auto"/>
          <w:highlight w:val="none"/>
        </w:rPr>
        <w:br w:type="textWrapping"/>
      </w:r>
      <w:r>
        <w:rPr>
          <w:color w:val="auto"/>
          <w:highlight w:val="none"/>
        </w:rPr>
        <w:t>     </w:t>
      </w:r>
      <w:r>
        <w:rPr>
          <w:rFonts w:ascii="宋体" w:hAnsi="宋体" w:cs="宋体"/>
          <w:color w:val="auto"/>
          <w:sz w:val="21"/>
          <w:szCs w:val="21"/>
          <w:highlight w:val="none"/>
        </w:rPr>
        <w:t>本公司（联合体）郑重声明，根据《政府采购促进中小企业发展管理办法》（财库﹝</w:t>
      </w:r>
      <w:r>
        <w:rPr>
          <w:rFonts w:hint="eastAsia" w:ascii="宋体" w:hAnsi="宋体" w:cs="宋体"/>
          <w:color w:val="auto"/>
          <w:sz w:val="21"/>
          <w:szCs w:val="21"/>
          <w:highlight w:val="none"/>
        </w:rPr>
        <w:t>2020﹞46 号）的规定，本公司（联合体）参加</w:t>
      </w:r>
      <w:r>
        <w:rPr>
          <w:rFonts w:hint="eastAsia" w:ascii="宋体" w:hAnsi="宋体" w:cs="宋体"/>
          <w:color w:val="auto"/>
          <w:sz w:val="21"/>
          <w:szCs w:val="21"/>
          <w:highlight w:val="none"/>
          <w:u w:val="single"/>
        </w:rPr>
        <w:t>（单位名称）</w:t>
      </w:r>
      <w:r>
        <w:rPr>
          <w:rFonts w:hint="eastAsia" w:ascii="宋体" w:hAnsi="宋体" w:cs="宋体"/>
          <w:color w:val="auto"/>
          <w:sz w:val="21"/>
          <w:szCs w:val="21"/>
          <w:highlight w:val="none"/>
        </w:rPr>
        <w:t>的</w:t>
      </w:r>
      <w:r>
        <w:rPr>
          <w:rFonts w:hint="eastAsia" w:ascii="宋体" w:hAnsi="宋体" w:cs="宋体"/>
          <w:color w:val="auto"/>
          <w:sz w:val="21"/>
          <w:szCs w:val="21"/>
          <w:highlight w:val="none"/>
          <w:u w:val="single"/>
        </w:rPr>
        <w:t>（项目名称）</w:t>
      </w:r>
      <w:r>
        <w:rPr>
          <w:rFonts w:hint="eastAsia" w:ascii="宋体" w:hAnsi="宋体" w:cs="宋体"/>
          <w:color w:val="auto"/>
          <w:sz w:val="21"/>
          <w:szCs w:val="21"/>
          <w:highlight w:val="none"/>
        </w:rPr>
        <w:t>采购活动，</w:t>
      </w:r>
      <w:r>
        <w:rPr>
          <w:rFonts w:hint="eastAsia" w:ascii="宋体" w:hAnsi="宋体" w:cs="宋体"/>
          <w:b/>
          <w:bCs/>
          <w:color w:val="auto"/>
          <w:sz w:val="21"/>
          <w:szCs w:val="21"/>
          <w:highlight w:val="none"/>
        </w:rPr>
        <w:t>提供的货物全部由符合政策要求的中小企业制造</w:t>
      </w:r>
      <w:r>
        <w:rPr>
          <w:rFonts w:hint="eastAsia" w:ascii="宋体" w:hAnsi="宋体" w:cs="宋体"/>
          <w:color w:val="auto"/>
          <w:sz w:val="21"/>
          <w:szCs w:val="21"/>
          <w:highlight w:val="none"/>
        </w:rPr>
        <w:t>。相关企业（含联合体中的中小企业、签订分包意向协议的中小企业） 的具体情况如下：</w:t>
      </w:r>
      <w:r>
        <w:rPr>
          <w:rFonts w:hint="eastAsia" w:ascii="宋体" w:hAnsi="宋体" w:cs="宋体"/>
          <w:color w:val="auto"/>
          <w:sz w:val="21"/>
          <w:szCs w:val="21"/>
          <w:highlight w:val="none"/>
        </w:rPr>
        <w:br w:type="textWrapping"/>
      </w:r>
      <w:r>
        <w:rPr>
          <w:rFonts w:hint="eastAsia" w:ascii="宋体" w:hAnsi="宋体" w:cs="宋体"/>
          <w:color w:val="auto"/>
          <w:sz w:val="21"/>
          <w:szCs w:val="21"/>
          <w:highlight w:val="none"/>
        </w:rPr>
        <w:t>   1.</w:t>
      </w:r>
      <w:r>
        <w:rPr>
          <w:rFonts w:hint="eastAsia" w:ascii="宋体" w:hAnsi="宋体" w:cs="宋体"/>
          <w:color w:val="auto"/>
          <w:sz w:val="21"/>
          <w:szCs w:val="21"/>
          <w:highlight w:val="none"/>
          <w:u w:val="single"/>
        </w:rPr>
        <w:t>（标的名称）</w:t>
      </w:r>
      <w:r>
        <w:rPr>
          <w:rFonts w:hint="eastAsia" w:ascii="宋体" w:hAnsi="宋体" w:cs="宋体"/>
          <w:color w:val="auto"/>
          <w:sz w:val="21"/>
          <w:szCs w:val="21"/>
          <w:highlight w:val="none"/>
        </w:rPr>
        <w:t>，属于</w:t>
      </w:r>
      <w:r>
        <w:rPr>
          <w:rFonts w:hint="eastAsia" w:ascii="宋体" w:hAnsi="宋体" w:cs="宋体"/>
          <w:color w:val="auto"/>
          <w:sz w:val="21"/>
          <w:szCs w:val="21"/>
          <w:highlight w:val="none"/>
          <w:u w:val="single"/>
        </w:rPr>
        <w:t>（采购文件中明确的所属行业）</w:t>
      </w:r>
      <w:r>
        <w:rPr>
          <w:rFonts w:hint="eastAsia" w:ascii="宋体" w:hAnsi="宋体" w:cs="宋体"/>
          <w:color w:val="auto"/>
          <w:sz w:val="21"/>
          <w:szCs w:val="21"/>
          <w:highlight w:val="none"/>
        </w:rPr>
        <w:t>行业；制造商为</w:t>
      </w:r>
      <w:r>
        <w:rPr>
          <w:rFonts w:hint="eastAsia" w:ascii="宋体" w:hAnsi="宋体" w:cs="宋体"/>
          <w:color w:val="auto"/>
          <w:sz w:val="21"/>
          <w:szCs w:val="21"/>
          <w:highlight w:val="none"/>
          <w:u w:val="single"/>
        </w:rPr>
        <w:t>（企业名称）</w:t>
      </w:r>
      <w:r>
        <w:rPr>
          <w:rFonts w:hint="eastAsia" w:ascii="宋体" w:hAnsi="宋体" w:cs="宋体"/>
          <w:color w:val="auto"/>
          <w:sz w:val="21"/>
          <w:szCs w:val="21"/>
          <w:highlight w:val="none"/>
        </w:rPr>
        <w:t>，从业人员</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人，营业收入为</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万元，资产总额为</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万元</w:t>
      </w:r>
      <w:r>
        <w:rPr>
          <w:rFonts w:hint="eastAsia" w:ascii="宋体" w:hAnsi="宋体" w:cs="宋体"/>
          <w:color w:val="auto"/>
          <w:sz w:val="21"/>
          <w:szCs w:val="21"/>
          <w:highlight w:val="none"/>
          <w:vertAlign w:val="superscript"/>
        </w:rPr>
        <w:t>1</w:t>
      </w:r>
      <w:r>
        <w:rPr>
          <w:rFonts w:hint="eastAsia" w:ascii="宋体" w:hAnsi="宋体" w:cs="宋体"/>
          <w:color w:val="auto"/>
          <w:sz w:val="21"/>
          <w:szCs w:val="21"/>
          <w:highlight w:val="none"/>
        </w:rPr>
        <w:t>，属于</w:t>
      </w:r>
      <w:r>
        <w:rPr>
          <w:rFonts w:hint="eastAsia" w:ascii="宋体" w:hAnsi="宋体" w:cs="宋体"/>
          <w:color w:val="auto"/>
          <w:sz w:val="21"/>
          <w:szCs w:val="21"/>
          <w:highlight w:val="none"/>
          <w:u w:val="single"/>
        </w:rPr>
        <w:t>（中型企业、小型企业、微型企业</w:t>
      </w:r>
      <w:r>
        <w:rPr>
          <w:rFonts w:hint="eastAsia" w:ascii="宋体" w:hAnsi="宋体" w:cs="宋体"/>
          <w:color w:val="auto"/>
          <w:sz w:val="21"/>
          <w:szCs w:val="21"/>
          <w:highlight w:val="none"/>
        </w:rPr>
        <w:t>）；</w:t>
      </w:r>
      <w:r>
        <w:rPr>
          <w:rFonts w:hint="eastAsia" w:ascii="宋体" w:hAnsi="宋体" w:cs="宋体"/>
          <w:color w:val="auto"/>
          <w:sz w:val="21"/>
          <w:szCs w:val="21"/>
          <w:highlight w:val="none"/>
        </w:rPr>
        <w:br w:type="textWrapping"/>
      </w:r>
      <w:r>
        <w:rPr>
          <w:rFonts w:hint="eastAsia" w:ascii="宋体" w:hAnsi="宋体" w:cs="宋体"/>
          <w:color w:val="auto"/>
          <w:sz w:val="21"/>
          <w:szCs w:val="21"/>
          <w:highlight w:val="none"/>
        </w:rPr>
        <w:t>   2.</w:t>
      </w:r>
      <w:r>
        <w:rPr>
          <w:rFonts w:hint="eastAsia" w:ascii="宋体" w:hAnsi="宋体" w:cs="宋体"/>
          <w:color w:val="auto"/>
          <w:sz w:val="21"/>
          <w:szCs w:val="21"/>
          <w:highlight w:val="none"/>
          <w:u w:val="single"/>
        </w:rPr>
        <w:t>（标的名称）</w:t>
      </w:r>
      <w:r>
        <w:rPr>
          <w:rFonts w:hint="eastAsia" w:ascii="宋体" w:hAnsi="宋体" w:cs="宋体"/>
          <w:color w:val="auto"/>
          <w:sz w:val="21"/>
          <w:szCs w:val="21"/>
          <w:highlight w:val="none"/>
        </w:rPr>
        <w:t>，属于</w:t>
      </w:r>
      <w:r>
        <w:rPr>
          <w:rFonts w:hint="eastAsia" w:ascii="宋体" w:hAnsi="宋体" w:cs="宋体"/>
          <w:color w:val="auto"/>
          <w:sz w:val="21"/>
          <w:szCs w:val="21"/>
          <w:highlight w:val="none"/>
          <w:u w:val="single"/>
        </w:rPr>
        <w:t>（采购文件中明确的所属行业）</w:t>
      </w:r>
      <w:r>
        <w:rPr>
          <w:rFonts w:hint="eastAsia" w:ascii="宋体" w:hAnsi="宋体" w:cs="宋体"/>
          <w:color w:val="auto"/>
          <w:sz w:val="21"/>
          <w:szCs w:val="21"/>
          <w:highlight w:val="none"/>
        </w:rPr>
        <w:t>行业；制造商为</w:t>
      </w:r>
      <w:r>
        <w:rPr>
          <w:rFonts w:hint="eastAsia" w:ascii="宋体" w:hAnsi="宋体" w:cs="宋体"/>
          <w:color w:val="auto"/>
          <w:sz w:val="21"/>
          <w:szCs w:val="21"/>
          <w:highlight w:val="none"/>
          <w:u w:val="single"/>
        </w:rPr>
        <w:t>（企业名称）</w:t>
      </w:r>
      <w:r>
        <w:rPr>
          <w:rFonts w:hint="eastAsia" w:ascii="宋体" w:hAnsi="宋体" w:cs="宋体"/>
          <w:color w:val="auto"/>
          <w:sz w:val="21"/>
          <w:szCs w:val="21"/>
          <w:highlight w:val="none"/>
        </w:rPr>
        <w:t>，从业人员</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人，营业收入为</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万元，资产总额为</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万元</w:t>
      </w:r>
      <w:r>
        <w:rPr>
          <w:rFonts w:hint="eastAsia" w:ascii="宋体" w:hAnsi="宋体" w:cs="宋体"/>
          <w:color w:val="auto"/>
          <w:sz w:val="21"/>
          <w:szCs w:val="21"/>
          <w:highlight w:val="none"/>
          <w:vertAlign w:val="superscript"/>
        </w:rPr>
        <w:t>1</w:t>
      </w:r>
      <w:r>
        <w:rPr>
          <w:rFonts w:hint="eastAsia" w:ascii="宋体" w:hAnsi="宋体" w:cs="宋体"/>
          <w:color w:val="auto"/>
          <w:sz w:val="21"/>
          <w:szCs w:val="21"/>
          <w:highlight w:val="none"/>
        </w:rPr>
        <w:t>，属于</w:t>
      </w:r>
      <w:r>
        <w:rPr>
          <w:rFonts w:hint="eastAsia" w:ascii="宋体" w:hAnsi="宋体" w:cs="宋体"/>
          <w:color w:val="auto"/>
          <w:sz w:val="21"/>
          <w:szCs w:val="21"/>
          <w:highlight w:val="none"/>
          <w:u w:val="single"/>
        </w:rPr>
        <w:t>（中型企业、小型企业、微型企业</w:t>
      </w:r>
      <w:r>
        <w:rPr>
          <w:rFonts w:hint="eastAsia" w:ascii="宋体" w:hAnsi="宋体" w:cs="宋体"/>
          <w:color w:val="auto"/>
          <w:sz w:val="21"/>
          <w:szCs w:val="21"/>
          <w:highlight w:val="none"/>
        </w:rPr>
        <w:t>）；</w:t>
      </w:r>
      <w:r>
        <w:rPr>
          <w:color w:val="auto"/>
          <w:highlight w:val="none"/>
        </w:rPr>
        <w:br w:type="textWrapping"/>
      </w:r>
      <w:r>
        <w:rPr>
          <w:color w:val="auto"/>
          <w:highlight w:val="none"/>
        </w:rPr>
        <w:t>  </w:t>
      </w:r>
      <w:r>
        <w:rPr>
          <w:color w:val="auto"/>
          <w:highlight w:val="none"/>
        </w:rPr>
        <w:br w:type="textWrapping"/>
      </w:r>
      <w:r>
        <w:rPr>
          <w:rFonts w:hint="eastAsia" w:ascii="宋体" w:hAnsi="宋体" w:cs="宋体"/>
          <w:color w:val="auto"/>
          <w:sz w:val="21"/>
          <w:szCs w:val="21"/>
          <w:highlight w:val="none"/>
        </w:rPr>
        <w:t>……</w:t>
      </w:r>
      <w:r>
        <w:rPr>
          <w:rFonts w:hint="eastAsia" w:ascii="宋体" w:hAnsi="宋体" w:cs="宋体"/>
          <w:color w:val="auto"/>
          <w:sz w:val="21"/>
          <w:szCs w:val="21"/>
          <w:highlight w:val="none"/>
        </w:rPr>
        <w:br w:type="textWrapping"/>
      </w:r>
      <w:r>
        <w:rPr>
          <w:rFonts w:hint="eastAsia" w:ascii="宋体" w:hAnsi="宋体" w:cs="宋体"/>
          <w:color w:val="auto"/>
          <w:sz w:val="21"/>
          <w:szCs w:val="21"/>
          <w:highlight w:val="none"/>
        </w:rPr>
        <w:br w:type="textWrapping"/>
      </w:r>
      <w:r>
        <w:rPr>
          <w:rFonts w:hint="eastAsia" w:ascii="宋体" w:hAnsi="宋体" w:cs="宋体"/>
          <w:color w:val="auto"/>
          <w:sz w:val="21"/>
          <w:szCs w:val="21"/>
          <w:highlight w:val="none"/>
        </w:rPr>
        <w:t>     以上企业，不属于大企业的分支机构，不存在控股股东为大企业的情形，也不存在与大企业的负责人为同一人的情形。</w:t>
      </w:r>
      <w:r>
        <w:rPr>
          <w:rFonts w:hint="eastAsia" w:ascii="宋体" w:hAnsi="宋体" w:cs="宋体"/>
          <w:color w:val="auto"/>
          <w:sz w:val="21"/>
          <w:szCs w:val="21"/>
          <w:highlight w:val="none"/>
        </w:rPr>
        <w:br w:type="textWrapping"/>
      </w:r>
      <w:r>
        <w:rPr>
          <w:rFonts w:hint="eastAsia" w:ascii="宋体" w:hAnsi="宋体" w:cs="宋体"/>
          <w:color w:val="auto"/>
          <w:sz w:val="21"/>
          <w:szCs w:val="21"/>
          <w:highlight w:val="none"/>
        </w:rPr>
        <w:br w:type="textWrapping"/>
      </w:r>
      <w:r>
        <w:rPr>
          <w:rFonts w:hint="eastAsia" w:ascii="宋体" w:hAnsi="宋体" w:cs="宋体"/>
          <w:color w:val="auto"/>
          <w:sz w:val="21"/>
          <w:szCs w:val="21"/>
          <w:highlight w:val="none"/>
        </w:rPr>
        <w:t>    本企业对上述声明内容的真实性负责。如有虚假，将依法承担相应责任。</w:t>
      </w:r>
      <w:r>
        <w:rPr>
          <w:rFonts w:hint="eastAsia" w:ascii="宋体" w:hAnsi="宋体" w:cs="宋体"/>
          <w:color w:val="auto"/>
          <w:sz w:val="21"/>
          <w:szCs w:val="21"/>
          <w:highlight w:val="none"/>
        </w:rPr>
        <w:br w:type="textWrapping"/>
      </w:r>
      <w:r>
        <w:rPr>
          <w:rFonts w:hint="eastAsia" w:ascii="宋体" w:hAnsi="宋体" w:cs="宋体"/>
          <w:color w:val="auto"/>
          <w:sz w:val="21"/>
          <w:szCs w:val="21"/>
          <w:highlight w:val="none"/>
        </w:rPr>
        <w:br w:type="textWrapping"/>
      </w:r>
      <w:r>
        <w:rPr>
          <w:rFonts w:hint="eastAsia" w:ascii="宋体" w:hAnsi="宋体" w:cs="宋体"/>
          <w:color w:val="auto"/>
          <w:sz w:val="21"/>
          <w:szCs w:val="21"/>
          <w:highlight w:val="none"/>
        </w:rPr>
        <w:t>                                                                                                 企业名称（盖章）：        </w:t>
      </w:r>
      <w:r>
        <w:rPr>
          <w:rFonts w:hint="eastAsia" w:ascii="宋体" w:hAnsi="宋体" w:cs="宋体"/>
          <w:color w:val="auto"/>
          <w:sz w:val="21"/>
          <w:szCs w:val="21"/>
          <w:highlight w:val="none"/>
        </w:rPr>
        <w:br w:type="textWrapping"/>
      </w:r>
      <w:r>
        <w:rPr>
          <w:rFonts w:hint="eastAsia" w:ascii="宋体" w:hAnsi="宋体" w:cs="宋体"/>
          <w:color w:val="auto"/>
          <w:sz w:val="21"/>
          <w:szCs w:val="21"/>
          <w:highlight w:val="none"/>
        </w:rPr>
        <w:t>                                        日期：</w:t>
      </w:r>
      <w:r>
        <w:rPr>
          <w:rFonts w:hint="eastAsia" w:ascii="宋体" w:hAnsi="宋体" w:cs="宋体"/>
          <w:color w:val="auto"/>
          <w:sz w:val="21"/>
          <w:szCs w:val="21"/>
          <w:highlight w:val="none"/>
        </w:rPr>
        <w:br w:type="textWrapping"/>
      </w:r>
      <w:r>
        <w:rPr>
          <w:rFonts w:hint="eastAsia" w:ascii="宋体" w:hAnsi="宋体" w:cs="宋体"/>
          <w:color w:val="auto"/>
          <w:sz w:val="21"/>
          <w:szCs w:val="21"/>
          <w:highlight w:val="none"/>
        </w:rPr>
        <w:br w:type="textWrapping"/>
      </w:r>
      <w:r>
        <w:rPr>
          <w:rFonts w:hint="eastAsia" w:ascii="宋体" w:hAnsi="宋体" w:cs="宋体"/>
          <w:color w:val="auto"/>
          <w:sz w:val="21"/>
          <w:szCs w:val="21"/>
          <w:highlight w:val="none"/>
        </w:rPr>
        <w:t>    从业人员、营业收入、资产总额填报上一年度数据，无上一年度数据的新成立企业可不填报。</w:t>
      </w:r>
      <w:r>
        <w:rPr>
          <w:color w:val="auto"/>
          <w:highlight w:val="none"/>
        </w:rPr>
        <w:br w:type="textWrapping"/>
      </w:r>
      <w:r>
        <w:rPr>
          <w:color w:val="auto"/>
          <w:highlight w:val="none"/>
        </w:rPr>
        <w:br w:type="textWrapping"/>
      </w:r>
      <w:r>
        <w:rPr>
          <w:color w:val="auto"/>
          <w:highlight w:val="none"/>
        </w:rPr>
        <w:br w:type="textWrapping"/>
      </w:r>
      <w:r>
        <w:rPr>
          <w:color w:val="auto"/>
          <w:highlight w:val="none"/>
        </w:rPr>
        <w:t xml:space="preserve">                                          </w:t>
      </w:r>
    </w:p>
    <w:p>
      <w:pPr>
        <w:pStyle w:val="12"/>
        <w:widowControl/>
        <w:spacing w:before="75" w:beforeAutospacing="0" w:after="75" w:afterAutospacing="0"/>
        <w:ind w:firstLine="2880"/>
        <w:rPr>
          <w:b/>
          <w:bCs/>
          <w:color w:val="auto"/>
          <w:highlight w:val="none"/>
        </w:rPr>
      </w:pPr>
    </w:p>
    <w:p>
      <w:pPr>
        <w:pStyle w:val="12"/>
        <w:widowControl/>
        <w:spacing w:before="75" w:beforeAutospacing="0" w:after="75" w:afterAutospacing="0"/>
        <w:ind w:firstLine="2880"/>
        <w:rPr>
          <w:rFonts w:ascii="宋体" w:hAnsi="宋体" w:cs="宋体"/>
          <w:b/>
          <w:bCs/>
          <w:color w:val="auto"/>
          <w:sz w:val="21"/>
          <w:szCs w:val="21"/>
          <w:highlight w:val="none"/>
        </w:rPr>
      </w:pPr>
      <w:r>
        <w:rPr>
          <w:rFonts w:hint="eastAsia" w:ascii="宋体" w:hAnsi="宋体" w:cs="宋体"/>
          <w:b/>
          <w:bCs/>
          <w:color w:val="auto"/>
          <w:sz w:val="21"/>
          <w:szCs w:val="21"/>
          <w:highlight w:val="none"/>
        </w:rPr>
        <w:t>中小企业声明函（工程、服务）</w:t>
      </w:r>
    </w:p>
    <w:p>
      <w:pPr>
        <w:pStyle w:val="12"/>
        <w:widowControl/>
        <w:spacing w:before="75" w:beforeAutospacing="0" w:after="75" w:afterAutospacing="0"/>
        <w:ind w:firstLine="2880"/>
        <w:rPr>
          <w:rFonts w:ascii="宋体" w:hAnsi="宋体" w:cs="宋体"/>
          <w:color w:val="auto"/>
          <w:sz w:val="21"/>
          <w:szCs w:val="21"/>
          <w:highlight w:val="none"/>
        </w:rPr>
      </w:pPr>
    </w:p>
    <w:p>
      <w:pPr>
        <w:pStyle w:val="12"/>
        <w:widowControl/>
        <w:spacing w:before="75" w:beforeAutospacing="0" w:after="75" w:afterAutospacing="0"/>
        <w:ind w:firstLine="2880"/>
        <w:rPr>
          <w:rFonts w:ascii="宋体" w:hAnsi="宋体" w:cs="宋体"/>
          <w:color w:val="auto"/>
          <w:sz w:val="21"/>
          <w:szCs w:val="21"/>
          <w:highlight w:val="none"/>
        </w:rPr>
      </w:pPr>
      <w:r>
        <w:rPr>
          <w:rFonts w:hint="eastAsia" w:ascii="宋体" w:hAnsi="宋体" w:cs="宋体"/>
          <w:color w:val="auto"/>
          <w:sz w:val="21"/>
          <w:szCs w:val="21"/>
          <w:highlight w:val="none"/>
        </w:rPr>
        <w:t>    本公司（联合体）郑重声明，根据《政府采购促进中小企业发展管理办法》（财库﹝2020﹞46 号）的规定，本公司（联合体）参加</w:t>
      </w:r>
      <w:r>
        <w:rPr>
          <w:rFonts w:hint="eastAsia" w:ascii="宋体" w:hAnsi="宋体" w:cs="宋体"/>
          <w:color w:val="auto"/>
          <w:sz w:val="21"/>
          <w:szCs w:val="21"/>
          <w:highlight w:val="none"/>
          <w:u w:val="single"/>
        </w:rPr>
        <w:t>（单位名称）</w:t>
      </w:r>
      <w:r>
        <w:rPr>
          <w:rFonts w:hint="eastAsia" w:ascii="宋体" w:hAnsi="宋体" w:cs="宋体"/>
          <w:color w:val="auto"/>
          <w:sz w:val="21"/>
          <w:szCs w:val="21"/>
          <w:highlight w:val="none"/>
        </w:rPr>
        <w:t>的</w:t>
      </w:r>
      <w:r>
        <w:rPr>
          <w:rFonts w:hint="eastAsia" w:ascii="宋体" w:hAnsi="宋体" w:cs="宋体"/>
          <w:color w:val="auto"/>
          <w:sz w:val="21"/>
          <w:szCs w:val="21"/>
          <w:highlight w:val="none"/>
          <w:u w:val="single"/>
        </w:rPr>
        <w:t>（项目名称）</w:t>
      </w:r>
      <w:r>
        <w:rPr>
          <w:rFonts w:hint="eastAsia" w:ascii="宋体" w:hAnsi="宋体" w:cs="宋体"/>
          <w:color w:val="auto"/>
          <w:sz w:val="21"/>
          <w:szCs w:val="21"/>
          <w:highlight w:val="none"/>
        </w:rPr>
        <w:t>采购活动，</w:t>
      </w:r>
      <w:r>
        <w:rPr>
          <w:rFonts w:hint="eastAsia" w:ascii="宋体" w:hAnsi="宋体" w:cs="宋体"/>
          <w:b/>
          <w:bCs/>
          <w:color w:val="auto"/>
          <w:sz w:val="21"/>
          <w:szCs w:val="21"/>
          <w:highlight w:val="none"/>
        </w:rPr>
        <w:t>工程的施工单位全部为符合政策要求的中小企业</w:t>
      </w:r>
      <w:r>
        <w:rPr>
          <w:rFonts w:hint="eastAsia" w:ascii="宋体" w:hAnsi="宋体" w:cs="宋体"/>
          <w:color w:val="auto"/>
          <w:sz w:val="21"/>
          <w:szCs w:val="21"/>
          <w:highlight w:val="none"/>
        </w:rPr>
        <w:t>（或者：</w:t>
      </w:r>
      <w:r>
        <w:rPr>
          <w:rFonts w:hint="eastAsia" w:ascii="宋体" w:hAnsi="宋体" w:cs="宋体"/>
          <w:b/>
          <w:bCs/>
          <w:color w:val="auto"/>
          <w:sz w:val="21"/>
          <w:szCs w:val="21"/>
          <w:highlight w:val="none"/>
        </w:rPr>
        <w:t>服务全部由符合政策要求的中小企业承接</w:t>
      </w:r>
      <w:r>
        <w:rPr>
          <w:rFonts w:hint="eastAsia" w:ascii="宋体" w:hAnsi="宋体" w:cs="宋体"/>
          <w:color w:val="auto"/>
          <w:sz w:val="21"/>
          <w:szCs w:val="21"/>
          <w:highlight w:val="none"/>
        </w:rPr>
        <w:t>）。相关企业（含联合体中的中小企业、签订分包意向协议的中小企业）的具体情况如下：</w:t>
      </w:r>
    </w:p>
    <w:p>
      <w:pPr>
        <w:pStyle w:val="12"/>
        <w:widowControl/>
        <w:spacing w:before="75" w:beforeAutospacing="0" w:after="75" w:afterAutospacing="0"/>
        <w:ind w:firstLine="2880"/>
        <w:rPr>
          <w:color w:val="auto"/>
          <w:highlight w:val="none"/>
        </w:rPr>
      </w:pPr>
      <w:r>
        <w:rPr>
          <w:rFonts w:hint="eastAsia" w:ascii="宋体" w:hAnsi="宋体" w:cs="宋体"/>
          <w:color w:val="auto"/>
          <w:sz w:val="21"/>
          <w:szCs w:val="21"/>
          <w:highlight w:val="none"/>
        </w:rPr>
        <w:t>    1.</w:t>
      </w:r>
      <w:r>
        <w:rPr>
          <w:rFonts w:hint="eastAsia" w:ascii="宋体" w:hAnsi="宋体" w:cs="宋体"/>
          <w:color w:val="auto"/>
          <w:sz w:val="21"/>
          <w:szCs w:val="21"/>
          <w:highlight w:val="none"/>
          <w:u w:val="single"/>
        </w:rPr>
        <w:t>（标的名称）</w:t>
      </w:r>
      <w:r>
        <w:rPr>
          <w:rFonts w:hint="eastAsia" w:ascii="宋体" w:hAnsi="宋体" w:cs="宋体"/>
          <w:color w:val="auto"/>
          <w:sz w:val="21"/>
          <w:szCs w:val="21"/>
          <w:highlight w:val="none"/>
        </w:rPr>
        <w:t>，属于</w:t>
      </w:r>
      <w:r>
        <w:rPr>
          <w:rFonts w:hint="eastAsia" w:ascii="宋体" w:hAnsi="宋体" w:cs="宋体"/>
          <w:color w:val="auto"/>
          <w:sz w:val="21"/>
          <w:szCs w:val="21"/>
          <w:highlight w:val="none"/>
          <w:u w:val="single"/>
        </w:rPr>
        <w:t>（采购文件中明确的所属行业）</w:t>
      </w:r>
      <w:r>
        <w:rPr>
          <w:rFonts w:hint="eastAsia" w:ascii="宋体" w:hAnsi="宋体" w:cs="宋体"/>
          <w:color w:val="auto"/>
          <w:sz w:val="21"/>
          <w:szCs w:val="21"/>
          <w:highlight w:val="none"/>
        </w:rPr>
        <w:t>；承建（承接）企业为</w:t>
      </w:r>
      <w:r>
        <w:rPr>
          <w:rFonts w:hint="eastAsia" w:ascii="宋体" w:hAnsi="宋体" w:cs="宋体"/>
          <w:color w:val="auto"/>
          <w:sz w:val="21"/>
          <w:szCs w:val="21"/>
          <w:highlight w:val="none"/>
          <w:u w:val="single"/>
        </w:rPr>
        <w:t>（企业名称）</w:t>
      </w:r>
      <w:r>
        <w:rPr>
          <w:rFonts w:hint="eastAsia" w:ascii="宋体" w:hAnsi="宋体" w:cs="宋体"/>
          <w:color w:val="auto"/>
          <w:sz w:val="21"/>
          <w:szCs w:val="21"/>
          <w:highlight w:val="none"/>
        </w:rPr>
        <w:t>，从业人员</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人，营业收入为</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万元，资产总额为</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万元</w:t>
      </w:r>
      <w:r>
        <w:rPr>
          <w:rFonts w:hint="eastAsia" w:ascii="宋体" w:hAnsi="宋体" w:cs="宋体"/>
          <w:color w:val="auto"/>
          <w:sz w:val="21"/>
          <w:szCs w:val="21"/>
          <w:highlight w:val="none"/>
          <w:vertAlign w:val="superscript"/>
        </w:rPr>
        <w:t>1</w:t>
      </w:r>
      <w:r>
        <w:rPr>
          <w:rFonts w:hint="eastAsia" w:ascii="宋体" w:hAnsi="宋体" w:cs="宋体"/>
          <w:color w:val="auto"/>
          <w:sz w:val="21"/>
          <w:szCs w:val="21"/>
          <w:highlight w:val="none"/>
        </w:rPr>
        <w:t>，属于</w:t>
      </w:r>
      <w:r>
        <w:rPr>
          <w:rFonts w:hint="eastAsia" w:ascii="宋体" w:hAnsi="宋体" w:cs="宋体"/>
          <w:color w:val="auto"/>
          <w:sz w:val="21"/>
          <w:szCs w:val="21"/>
          <w:highlight w:val="none"/>
          <w:u w:val="single"/>
        </w:rPr>
        <w:t>（中型企业、小型企业、微型企业</w:t>
      </w:r>
      <w:r>
        <w:rPr>
          <w:rFonts w:hint="eastAsia" w:ascii="宋体" w:hAnsi="宋体" w:cs="宋体"/>
          <w:color w:val="auto"/>
          <w:sz w:val="21"/>
          <w:szCs w:val="21"/>
          <w:highlight w:val="none"/>
        </w:rPr>
        <w:t>）；</w:t>
      </w:r>
    </w:p>
    <w:p>
      <w:pPr>
        <w:pStyle w:val="12"/>
        <w:widowControl/>
        <w:spacing w:before="75" w:beforeAutospacing="0" w:after="75" w:afterAutospacing="0"/>
        <w:ind w:firstLine="630" w:firstLineChars="300"/>
        <w:rPr>
          <w:rFonts w:ascii="宋体" w:hAnsi="宋体" w:cs="宋体"/>
          <w:color w:val="auto"/>
          <w:sz w:val="21"/>
          <w:szCs w:val="21"/>
          <w:highlight w:val="none"/>
        </w:rPr>
      </w:pPr>
      <w:r>
        <w:rPr>
          <w:rFonts w:hint="eastAsia" w:ascii="宋体" w:hAnsi="宋体" w:cs="宋体"/>
          <w:color w:val="auto"/>
          <w:sz w:val="21"/>
          <w:szCs w:val="21"/>
          <w:highlight w:val="none"/>
          <w:u w:val="single"/>
        </w:rPr>
        <w:t>2.（标的名称）</w:t>
      </w:r>
      <w:r>
        <w:rPr>
          <w:rFonts w:hint="eastAsia" w:ascii="宋体" w:hAnsi="宋体" w:cs="宋体"/>
          <w:color w:val="auto"/>
          <w:sz w:val="21"/>
          <w:szCs w:val="21"/>
          <w:highlight w:val="none"/>
        </w:rPr>
        <w:t>，属于</w:t>
      </w:r>
      <w:r>
        <w:rPr>
          <w:rFonts w:hint="eastAsia" w:ascii="宋体" w:hAnsi="宋体" w:cs="宋体"/>
          <w:color w:val="auto"/>
          <w:sz w:val="21"/>
          <w:szCs w:val="21"/>
          <w:highlight w:val="none"/>
          <w:u w:val="single"/>
        </w:rPr>
        <w:t>（采购文件中明确的所属行业）</w:t>
      </w:r>
      <w:r>
        <w:rPr>
          <w:rFonts w:hint="eastAsia" w:ascii="宋体" w:hAnsi="宋体" w:cs="宋体"/>
          <w:color w:val="auto"/>
          <w:sz w:val="21"/>
          <w:szCs w:val="21"/>
          <w:highlight w:val="none"/>
        </w:rPr>
        <w:t>；承建（承接）企业为</w:t>
      </w:r>
      <w:r>
        <w:rPr>
          <w:rFonts w:hint="eastAsia" w:ascii="宋体" w:hAnsi="宋体" w:cs="宋体"/>
          <w:color w:val="auto"/>
          <w:sz w:val="21"/>
          <w:szCs w:val="21"/>
          <w:highlight w:val="none"/>
          <w:u w:val="single"/>
        </w:rPr>
        <w:t>（企业名称）</w:t>
      </w:r>
      <w:r>
        <w:rPr>
          <w:rFonts w:hint="eastAsia" w:ascii="宋体" w:hAnsi="宋体" w:cs="宋体"/>
          <w:color w:val="auto"/>
          <w:sz w:val="21"/>
          <w:szCs w:val="21"/>
          <w:highlight w:val="none"/>
        </w:rPr>
        <w:t>，从业人员</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人，营业收入为</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万元，资产总额为</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万元</w:t>
      </w:r>
      <w:r>
        <w:rPr>
          <w:rFonts w:hint="eastAsia" w:ascii="宋体" w:hAnsi="宋体" w:cs="宋体"/>
          <w:color w:val="auto"/>
          <w:sz w:val="21"/>
          <w:szCs w:val="21"/>
          <w:highlight w:val="none"/>
          <w:vertAlign w:val="superscript"/>
        </w:rPr>
        <w:t>1</w:t>
      </w:r>
      <w:r>
        <w:rPr>
          <w:rFonts w:hint="eastAsia" w:ascii="宋体" w:hAnsi="宋体" w:cs="宋体"/>
          <w:color w:val="auto"/>
          <w:sz w:val="21"/>
          <w:szCs w:val="21"/>
          <w:highlight w:val="none"/>
        </w:rPr>
        <w:t>，属于</w:t>
      </w:r>
      <w:r>
        <w:rPr>
          <w:rFonts w:hint="eastAsia" w:ascii="宋体" w:hAnsi="宋体" w:cs="宋体"/>
          <w:color w:val="auto"/>
          <w:sz w:val="21"/>
          <w:szCs w:val="21"/>
          <w:highlight w:val="none"/>
          <w:u w:val="single"/>
        </w:rPr>
        <w:t>（中型企业、小型企业、微型企业</w:t>
      </w:r>
      <w:r>
        <w:rPr>
          <w:rFonts w:hint="eastAsia" w:ascii="宋体" w:hAnsi="宋体" w:cs="宋体"/>
          <w:color w:val="auto"/>
          <w:sz w:val="21"/>
          <w:szCs w:val="21"/>
          <w:highlight w:val="none"/>
        </w:rPr>
        <w:t>）；</w:t>
      </w:r>
    </w:p>
    <w:p>
      <w:pPr>
        <w:pStyle w:val="12"/>
        <w:widowControl/>
        <w:spacing w:before="75" w:beforeAutospacing="0" w:after="75" w:afterAutospacing="0"/>
        <w:ind w:firstLine="630" w:firstLineChars="300"/>
        <w:rPr>
          <w:rFonts w:ascii="宋体" w:hAnsi="宋体" w:cs="宋体"/>
          <w:color w:val="auto"/>
          <w:sz w:val="21"/>
          <w:szCs w:val="21"/>
          <w:highlight w:val="none"/>
        </w:rPr>
      </w:pPr>
    </w:p>
    <w:p>
      <w:pPr>
        <w:pStyle w:val="12"/>
        <w:widowControl/>
        <w:spacing w:before="75" w:beforeAutospacing="0" w:after="75" w:afterAutospacing="0"/>
        <w:ind w:firstLine="630" w:firstLineChars="300"/>
        <w:rPr>
          <w:rFonts w:ascii="宋体" w:hAnsi="宋体" w:cs="宋体"/>
          <w:color w:val="auto"/>
          <w:sz w:val="21"/>
          <w:szCs w:val="21"/>
          <w:highlight w:val="none"/>
        </w:rPr>
      </w:pPr>
      <w:r>
        <w:rPr>
          <w:rFonts w:hint="eastAsia" w:ascii="宋体" w:hAnsi="宋体" w:cs="宋体"/>
          <w:color w:val="auto"/>
          <w:sz w:val="21"/>
          <w:szCs w:val="21"/>
          <w:highlight w:val="none"/>
        </w:rPr>
        <w:t>……</w:t>
      </w:r>
    </w:p>
    <w:p>
      <w:pPr>
        <w:pStyle w:val="12"/>
        <w:widowControl/>
        <w:spacing w:before="75" w:beforeAutospacing="0" w:after="75" w:afterAutospacing="0"/>
        <w:ind w:firstLine="630" w:firstLineChars="300"/>
        <w:rPr>
          <w:rFonts w:ascii="宋体" w:hAnsi="宋体" w:cs="宋体"/>
          <w:color w:val="auto"/>
          <w:sz w:val="21"/>
          <w:szCs w:val="21"/>
          <w:highlight w:val="none"/>
        </w:rPr>
      </w:pPr>
    </w:p>
    <w:p>
      <w:pPr>
        <w:pStyle w:val="12"/>
        <w:widowControl/>
        <w:spacing w:before="75" w:beforeAutospacing="0" w:after="75" w:afterAutospacing="0"/>
        <w:ind w:firstLine="630" w:firstLineChars="300"/>
        <w:rPr>
          <w:rFonts w:ascii="宋体" w:hAnsi="宋体" w:cs="宋体"/>
          <w:color w:val="auto"/>
          <w:sz w:val="21"/>
          <w:szCs w:val="21"/>
          <w:highlight w:val="none"/>
        </w:rPr>
      </w:pPr>
      <w:r>
        <w:rPr>
          <w:rFonts w:hint="eastAsia" w:ascii="宋体" w:hAnsi="宋体" w:cs="宋体"/>
          <w:color w:val="auto"/>
          <w:sz w:val="21"/>
          <w:szCs w:val="21"/>
          <w:highlight w:val="none"/>
        </w:rPr>
        <w:t>      以上企业，不属于大企业的分支机构，不存在控股股东为大企业的情形，也不存在与大企业的负责人为同一人的情形。</w:t>
      </w:r>
    </w:p>
    <w:p>
      <w:pPr>
        <w:pStyle w:val="12"/>
        <w:widowControl/>
        <w:spacing w:before="75" w:beforeAutospacing="0" w:after="75" w:afterAutospacing="0"/>
        <w:ind w:firstLine="630" w:firstLineChars="300"/>
        <w:rPr>
          <w:rFonts w:ascii="宋体" w:hAnsi="宋体" w:cs="宋体"/>
          <w:color w:val="auto"/>
          <w:sz w:val="21"/>
          <w:szCs w:val="21"/>
          <w:highlight w:val="none"/>
        </w:rPr>
      </w:pPr>
    </w:p>
    <w:p>
      <w:pPr>
        <w:pStyle w:val="12"/>
        <w:widowControl/>
        <w:spacing w:before="75" w:beforeAutospacing="0" w:after="75" w:afterAutospacing="0"/>
        <w:ind w:firstLine="630" w:firstLineChars="300"/>
        <w:rPr>
          <w:rFonts w:ascii="宋体" w:hAnsi="宋体" w:cs="宋体"/>
          <w:color w:val="auto"/>
          <w:sz w:val="21"/>
          <w:szCs w:val="21"/>
          <w:highlight w:val="none"/>
        </w:rPr>
      </w:pPr>
      <w:r>
        <w:rPr>
          <w:rFonts w:hint="eastAsia" w:ascii="宋体" w:hAnsi="宋体" w:cs="宋体"/>
          <w:color w:val="auto"/>
          <w:sz w:val="21"/>
          <w:szCs w:val="21"/>
          <w:highlight w:val="none"/>
        </w:rPr>
        <w:t>     本企业对上述声明内容的真实性负责。如有虚假，将依法承担相应责任。</w:t>
      </w:r>
    </w:p>
    <w:p>
      <w:pPr>
        <w:pStyle w:val="12"/>
        <w:widowControl/>
        <w:spacing w:before="75" w:beforeAutospacing="0" w:after="75" w:afterAutospacing="0"/>
        <w:ind w:firstLine="630" w:firstLineChars="300"/>
        <w:rPr>
          <w:rFonts w:ascii="宋体" w:hAnsi="宋体" w:cs="宋体"/>
          <w:color w:val="auto"/>
          <w:sz w:val="21"/>
          <w:szCs w:val="21"/>
          <w:highlight w:val="none"/>
        </w:rPr>
      </w:pPr>
    </w:p>
    <w:p>
      <w:pPr>
        <w:pStyle w:val="12"/>
        <w:widowControl/>
        <w:spacing w:before="75" w:beforeAutospacing="0" w:after="75" w:afterAutospacing="0"/>
        <w:ind w:left="480"/>
        <w:jc w:val="both"/>
        <w:rPr>
          <w:rFonts w:ascii="宋体" w:hAnsi="宋体" w:cs="宋体"/>
          <w:color w:val="auto"/>
          <w:sz w:val="21"/>
          <w:szCs w:val="21"/>
          <w:highlight w:val="none"/>
        </w:rPr>
      </w:pPr>
    </w:p>
    <w:p>
      <w:pPr>
        <w:pStyle w:val="12"/>
        <w:widowControl/>
        <w:spacing w:before="75" w:beforeAutospacing="0" w:after="75" w:afterAutospacing="0"/>
        <w:ind w:left="480"/>
        <w:jc w:val="both"/>
        <w:rPr>
          <w:rFonts w:ascii="宋体" w:hAnsi="宋体" w:cs="宋体"/>
          <w:color w:val="auto"/>
          <w:sz w:val="21"/>
          <w:szCs w:val="21"/>
          <w:highlight w:val="none"/>
        </w:rPr>
      </w:pPr>
      <w:r>
        <w:rPr>
          <w:rFonts w:hint="eastAsia" w:ascii="宋体" w:hAnsi="宋体" w:cs="宋体"/>
          <w:color w:val="auto"/>
          <w:sz w:val="21"/>
          <w:szCs w:val="21"/>
          <w:highlight w:val="none"/>
        </w:rPr>
        <w:t>                                                                                 企业名称（盖章）：                     </w:t>
      </w:r>
    </w:p>
    <w:p>
      <w:pPr>
        <w:pStyle w:val="12"/>
        <w:widowControl/>
        <w:spacing w:before="75" w:beforeAutospacing="0" w:after="75" w:afterAutospacing="0"/>
        <w:ind w:left="480"/>
        <w:jc w:val="both"/>
        <w:rPr>
          <w:rFonts w:ascii="宋体" w:hAnsi="宋体" w:cs="宋体"/>
          <w:color w:val="auto"/>
          <w:sz w:val="21"/>
          <w:szCs w:val="21"/>
          <w:highlight w:val="none"/>
        </w:rPr>
      </w:pPr>
      <w:r>
        <w:rPr>
          <w:rFonts w:hint="eastAsia" w:ascii="宋体" w:hAnsi="宋体" w:cs="宋体"/>
          <w:color w:val="auto"/>
          <w:sz w:val="21"/>
          <w:szCs w:val="21"/>
          <w:highlight w:val="none"/>
        </w:rPr>
        <w:t>                           日期：</w:t>
      </w:r>
    </w:p>
    <w:p>
      <w:pPr>
        <w:pStyle w:val="12"/>
        <w:widowControl/>
        <w:spacing w:before="75" w:beforeAutospacing="0" w:after="75" w:afterAutospacing="0"/>
        <w:ind w:left="480"/>
        <w:jc w:val="both"/>
        <w:rPr>
          <w:rFonts w:ascii="宋体" w:hAnsi="宋体" w:cs="宋体"/>
          <w:color w:val="auto"/>
          <w:sz w:val="21"/>
          <w:szCs w:val="21"/>
          <w:highlight w:val="none"/>
        </w:rPr>
      </w:pPr>
    </w:p>
    <w:p>
      <w:pPr>
        <w:pStyle w:val="12"/>
        <w:widowControl/>
        <w:spacing w:before="75" w:beforeAutospacing="0" w:after="75" w:afterAutospacing="0"/>
        <w:ind w:left="480"/>
        <w:rPr>
          <w:rFonts w:ascii="宋体" w:hAnsi="宋体" w:cs="宋体"/>
          <w:color w:val="auto"/>
          <w:sz w:val="21"/>
          <w:szCs w:val="21"/>
          <w:highlight w:val="none"/>
        </w:rPr>
      </w:pPr>
    </w:p>
    <w:p>
      <w:pPr>
        <w:pStyle w:val="12"/>
        <w:widowControl/>
        <w:spacing w:before="75" w:beforeAutospacing="0" w:after="75" w:afterAutospacing="0"/>
        <w:ind w:left="480"/>
        <w:rPr>
          <w:color w:val="auto"/>
          <w:highlight w:val="none"/>
        </w:rPr>
      </w:pPr>
      <w:r>
        <w:rPr>
          <w:rFonts w:hint="eastAsia" w:ascii="宋体" w:hAnsi="宋体" w:cs="宋体"/>
          <w:color w:val="auto"/>
          <w:sz w:val="21"/>
          <w:szCs w:val="21"/>
          <w:highlight w:val="none"/>
        </w:rPr>
        <w:t>   从业人员、营业收入、资产总额填报上一年度数据，无上一年度数据的新成立企业可不填报。</w:t>
      </w:r>
    </w:p>
    <w:p>
      <w:pPr>
        <w:pStyle w:val="12"/>
        <w:widowControl/>
        <w:spacing w:before="75" w:beforeAutospacing="0" w:after="75" w:afterAutospacing="0"/>
        <w:jc w:val="center"/>
        <w:rPr>
          <w:rFonts w:ascii="宋体" w:hAnsi="宋体" w:cs="宋体"/>
          <w:b/>
          <w:bCs/>
          <w:color w:val="auto"/>
          <w:sz w:val="21"/>
          <w:szCs w:val="21"/>
          <w:highlight w:val="none"/>
        </w:rPr>
      </w:pPr>
      <w:r>
        <w:rPr>
          <w:rFonts w:hint="eastAsia" w:ascii="宋体" w:hAnsi="宋体" w:cs="宋体"/>
          <w:b/>
          <w:bCs/>
          <w:color w:val="auto"/>
          <w:sz w:val="21"/>
          <w:szCs w:val="21"/>
          <w:highlight w:val="none"/>
        </w:rPr>
        <w:br w:type="page"/>
      </w:r>
      <w:r>
        <w:rPr>
          <w:rFonts w:hint="eastAsia" w:ascii="宋体" w:hAnsi="宋体" w:cs="宋体"/>
          <w:b/>
          <w:bCs/>
          <w:color w:val="auto"/>
          <w:sz w:val="21"/>
          <w:szCs w:val="21"/>
          <w:highlight w:val="none"/>
        </w:rPr>
        <w:t>附件7-1-2</w:t>
      </w:r>
      <w:bookmarkEnd w:id="36"/>
      <w:r>
        <w:rPr>
          <w:rFonts w:hint="eastAsia" w:ascii="宋体" w:hAnsi="宋体" w:cs="宋体"/>
          <w:b/>
          <w:bCs/>
          <w:color w:val="auto"/>
          <w:sz w:val="21"/>
          <w:szCs w:val="21"/>
          <w:highlight w:val="none"/>
        </w:rPr>
        <w:t xml:space="preserve">     </w:t>
      </w:r>
      <w:r>
        <w:rPr>
          <w:rStyle w:val="18"/>
          <w:rFonts w:hint="eastAsia" w:ascii="宋体" w:hAnsi="宋体" w:cs="宋体"/>
          <w:bCs/>
          <w:color w:val="auto"/>
          <w:sz w:val="21"/>
          <w:szCs w:val="21"/>
          <w:highlight w:val="none"/>
        </w:rPr>
        <w:t>残疾人福利性单位声明函（如果有的话）</w:t>
      </w:r>
    </w:p>
    <w:p>
      <w:pPr>
        <w:pStyle w:val="12"/>
        <w:widowControl/>
        <w:spacing w:before="75" w:beforeAutospacing="0" w:after="75" w:afterAutospacing="0"/>
        <w:rPr>
          <w:rFonts w:ascii="宋体" w:hAnsi="宋体" w:cs="宋体"/>
          <w:color w:val="auto"/>
          <w:sz w:val="21"/>
          <w:szCs w:val="21"/>
          <w:highlight w:val="none"/>
        </w:rPr>
      </w:pPr>
      <w:r>
        <w:rPr>
          <w:rStyle w:val="18"/>
          <w:rFonts w:hint="eastAsia" w:ascii="宋体" w:hAnsi="宋体" w:cs="宋体"/>
          <w:color w:val="auto"/>
          <w:sz w:val="21"/>
          <w:szCs w:val="21"/>
          <w:highlight w:val="none"/>
        </w:rPr>
        <w:t> </w:t>
      </w:r>
    </w:p>
    <w:p>
      <w:pPr>
        <w:pStyle w:val="12"/>
        <w:widowControl/>
        <w:spacing w:before="75" w:beforeAutospacing="0" w:after="75" w:afterAutospacing="0" w:line="435" w:lineRule="atLeast"/>
        <w:jc w:val="both"/>
        <w:rPr>
          <w:rFonts w:ascii="宋体" w:hAnsi="宋体" w:cs="宋体"/>
          <w:color w:val="auto"/>
          <w:sz w:val="21"/>
          <w:szCs w:val="21"/>
          <w:highlight w:val="none"/>
        </w:rPr>
      </w:pPr>
      <w:r>
        <w:rPr>
          <w:rStyle w:val="18"/>
          <w:rFonts w:hint="eastAsia" w:ascii="宋体" w:hAnsi="宋体" w:cs="宋体"/>
          <w:color w:val="auto"/>
          <w:sz w:val="21"/>
          <w:szCs w:val="21"/>
          <w:highlight w:val="none"/>
        </w:rPr>
        <w:t> </w:t>
      </w:r>
    </w:p>
    <w:p>
      <w:pPr>
        <w:pStyle w:val="12"/>
        <w:widowControl/>
        <w:spacing w:before="75" w:beforeAutospacing="0" w:after="75" w:afterAutospacing="0" w:line="435" w:lineRule="atLeast"/>
        <w:ind w:firstLine="420"/>
        <w:jc w:val="both"/>
        <w:rPr>
          <w:rFonts w:ascii="宋体" w:hAnsi="宋体" w:cs="宋体"/>
          <w:color w:val="auto"/>
          <w:sz w:val="21"/>
          <w:szCs w:val="21"/>
          <w:highlight w:val="none"/>
        </w:rPr>
      </w:pPr>
      <w:r>
        <w:rPr>
          <w:rFonts w:hint="eastAsia" w:ascii="宋体" w:hAnsi="宋体" w:cs="宋体"/>
          <w:color w:val="auto"/>
          <w:sz w:val="21"/>
          <w:szCs w:val="21"/>
          <w:highlight w:val="none"/>
        </w:rPr>
        <w:t>本供应商郑重声明，根据《财政部 民政部 中国残疾人联合会关于促进残疾人就业政府采购政策的通知》（财库[2017]141号）的规定，本供应商为符合条件的残疾人福利性单位，且本供应商参加贵单位的</w:t>
      </w:r>
      <w:r>
        <w:rPr>
          <w:rFonts w:hint="eastAsia" w:ascii="宋体" w:hAnsi="宋体" w:cs="宋体"/>
          <w:color w:val="auto"/>
          <w:sz w:val="21"/>
          <w:szCs w:val="21"/>
          <w:highlight w:val="none"/>
          <w:u w:val="single"/>
        </w:rPr>
        <w:t>（填写“项目名称”）</w:t>
      </w:r>
      <w:r>
        <w:rPr>
          <w:rFonts w:hint="eastAsia" w:ascii="宋体" w:hAnsi="宋体" w:cs="宋体"/>
          <w:color w:val="auto"/>
          <w:sz w:val="21"/>
          <w:szCs w:val="21"/>
          <w:highlight w:val="none"/>
        </w:rPr>
        <w:t>项目采购活动：</w:t>
      </w:r>
    </w:p>
    <w:p>
      <w:pPr>
        <w:pStyle w:val="12"/>
        <w:widowControl/>
        <w:spacing w:before="75" w:beforeAutospacing="0" w:after="75" w:afterAutospacing="0" w:line="435" w:lineRule="atLeast"/>
        <w:ind w:firstLine="420"/>
        <w:jc w:val="both"/>
        <w:rPr>
          <w:rFonts w:ascii="宋体" w:hAnsi="宋体" w:cs="宋体"/>
          <w:color w:val="auto"/>
          <w:sz w:val="21"/>
          <w:szCs w:val="21"/>
          <w:highlight w:val="none"/>
        </w:rPr>
      </w:pPr>
      <w:r>
        <w:rPr>
          <w:rFonts w:hint="eastAsia" w:ascii="宋体" w:hAnsi="宋体" w:cs="宋体"/>
          <w:color w:val="auto"/>
          <w:sz w:val="21"/>
          <w:szCs w:val="21"/>
          <w:highlight w:val="none"/>
        </w:rPr>
        <w:t>（ ）提供本供应商制造的</w:t>
      </w:r>
      <w:r>
        <w:rPr>
          <w:rFonts w:hint="eastAsia" w:ascii="宋体" w:hAnsi="宋体" w:cs="宋体"/>
          <w:color w:val="auto"/>
          <w:sz w:val="21"/>
          <w:szCs w:val="21"/>
          <w:highlight w:val="none"/>
          <w:u w:val="single"/>
        </w:rPr>
        <w:t>（填写“所投采购包、品目号”）</w:t>
      </w:r>
      <w:r>
        <w:rPr>
          <w:rFonts w:hint="eastAsia" w:ascii="宋体" w:hAnsi="宋体" w:cs="宋体"/>
          <w:color w:val="auto"/>
          <w:sz w:val="21"/>
          <w:szCs w:val="21"/>
          <w:highlight w:val="none"/>
        </w:rPr>
        <w:t>货物，</w:t>
      </w:r>
    </w:p>
    <w:p>
      <w:pPr>
        <w:pStyle w:val="12"/>
        <w:widowControl/>
        <w:spacing w:before="75" w:beforeAutospacing="0" w:after="75" w:afterAutospacing="0" w:line="435" w:lineRule="atLeast"/>
        <w:ind w:firstLine="420"/>
        <w:jc w:val="both"/>
        <w:rPr>
          <w:rFonts w:ascii="宋体" w:hAnsi="宋体" w:cs="宋体"/>
          <w:color w:val="auto"/>
          <w:sz w:val="21"/>
          <w:szCs w:val="21"/>
          <w:highlight w:val="none"/>
        </w:rPr>
      </w:pPr>
      <w:r>
        <w:rPr>
          <w:rFonts w:hint="eastAsia" w:ascii="宋体" w:hAnsi="宋体" w:cs="宋体"/>
          <w:color w:val="auto"/>
          <w:sz w:val="21"/>
          <w:szCs w:val="21"/>
          <w:highlight w:val="none"/>
        </w:rPr>
        <w:t>（ ）由本供应商承担的</w:t>
      </w:r>
      <w:r>
        <w:rPr>
          <w:rFonts w:hint="eastAsia" w:ascii="宋体" w:hAnsi="宋体" w:cs="宋体"/>
          <w:color w:val="auto"/>
          <w:sz w:val="21"/>
          <w:szCs w:val="21"/>
          <w:highlight w:val="none"/>
          <w:u w:val="single"/>
        </w:rPr>
        <w:t>（填写“所投采购包、品目号”）</w:t>
      </w:r>
      <w:r>
        <w:rPr>
          <w:rFonts w:hint="eastAsia" w:ascii="宋体" w:hAnsi="宋体" w:cs="宋体"/>
          <w:color w:val="auto"/>
          <w:sz w:val="21"/>
          <w:szCs w:val="21"/>
          <w:highlight w:val="none"/>
        </w:rPr>
        <w:t>工程，</w:t>
      </w:r>
    </w:p>
    <w:p>
      <w:pPr>
        <w:pStyle w:val="12"/>
        <w:widowControl/>
        <w:spacing w:before="75" w:beforeAutospacing="0" w:after="75" w:afterAutospacing="0" w:line="435" w:lineRule="atLeast"/>
        <w:ind w:firstLine="420"/>
        <w:jc w:val="both"/>
        <w:rPr>
          <w:rFonts w:ascii="宋体" w:hAnsi="宋体" w:cs="宋体"/>
          <w:color w:val="auto"/>
          <w:sz w:val="21"/>
          <w:szCs w:val="21"/>
          <w:highlight w:val="none"/>
        </w:rPr>
      </w:pPr>
      <w:r>
        <w:rPr>
          <w:rFonts w:hint="eastAsia" w:ascii="宋体" w:hAnsi="宋体" w:cs="宋体"/>
          <w:color w:val="auto"/>
          <w:sz w:val="21"/>
          <w:szCs w:val="21"/>
          <w:highlight w:val="none"/>
        </w:rPr>
        <w:t>（ ）由本供应商提供的</w:t>
      </w:r>
      <w:r>
        <w:rPr>
          <w:rFonts w:hint="eastAsia" w:ascii="宋体" w:hAnsi="宋体" w:cs="宋体"/>
          <w:color w:val="auto"/>
          <w:sz w:val="21"/>
          <w:szCs w:val="21"/>
          <w:highlight w:val="none"/>
          <w:u w:val="single"/>
        </w:rPr>
        <w:t>（填写“所投采购包、品目号”）</w:t>
      </w:r>
      <w:r>
        <w:rPr>
          <w:rFonts w:hint="eastAsia" w:ascii="宋体" w:hAnsi="宋体" w:cs="宋体"/>
          <w:color w:val="auto"/>
          <w:sz w:val="21"/>
          <w:szCs w:val="21"/>
          <w:highlight w:val="none"/>
        </w:rPr>
        <w:t>服务；或</w:t>
      </w:r>
    </w:p>
    <w:p>
      <w:pPr>
        <w:pStyle w:val="12"/>
        <w:widowControl/>
        <w:spacing w:before="75" w:beforeAutospacing="0" w:after="75" w:afterAutospacing="0" w:line="435" w:lineRule="atLeast"/>
        <w:ind w:firstLine="420"/>
        <w:jc w:val="both"/>
        <w:rPr>
          <w:rFonts w:ascii="宋体" w:hAnsi="宋体" w:cs="宋体"/>
          <w:color w:val="auto"/>
          <w:sz w:val="21"/>
          <w:szCs w:val="21"/>
          <w:highlight w:val="none"/>
        </w:rPr>
      </w:pPr>
      <w:r>
        <w:rPr>
          <w:rFonts w:hint="eastAsia" w:ascii="宋体" w:hAnsi="宋体" w:cs="宋体"/>
          <w:color w:val="auto"/>
          <w:sz w:val="21"/>
          <w:szCs w:val="21"/>
          <w:highlight w:val="none"/>
        </w:rPr>
        <w:t>（ ）提供其他残疾人福利性单位制造的</w:t>
      </w:r>
      <w:r>
        <w:rPr>
          <w:rFonts w:hint="eastAsia" w:ascii="宋体" w:hAnsi="宋体" w:cs="宋体"/>
          <w:color w:val="auto"/>
          <w:sz w:val="21"/>
          <w:szCs w:val="21"/>
          <w:highlight w:val="none"/>
          <w:u w:val="single"/>
        </w:rPr>
        <w:t>（填写“所投采购包、品目号”）</w:t>
      </w:r>
      <w:r>
        <w:rPr>
          <w:rFonts w:hint="eastAsia" w:ascii="宋体" w:hAnsi="宋体" w:cs="宋体"/>
          <w:color w:val="auto"/>
          <w:sz w:val="21"/>
          <w:szCs w:val="21"/>
          <w:highlight w:val="none"/>
        </w:rPr>
        <w:t>货物（不包括使用非残疾人福利性单位注册商标的货物）。</w:t>
      </w:r>
    </w:p>
    <w:p>
      <w:pPr>
        <w:pStyle w:val="12"/>
        <w:widowControl/>
        <w:spacing w:before="75" w:beforeAutospacing="0" w:after="75" w:afterAutospacing="0" w:line="435" w:lineRule="atLeast"/>
        <w:ind w:firstLine="420"/>
        <w:jc w:val="both"/>
        <w:rPr>
          <w:rFonts w:ascii="宋体" w:hAnsi="宋体" w:cs="宋体"/>
          <w:color w:val="auto"/>
          <w:sz w:val="21"/>
          <w:szCs w:val="21"/>
          <w:highlight w:val="none"/>
        </w:rPr>
      </w:pPr>
      <w:r>
        <w:rPr>
          <w:rFonts w:hint="eastAsia" w:ascii="宋体" w:hAnsi="宋体" w:cs="宋体"/>
          <w:color w:val="auto"/>
          <w:sz w:val="21"/>
          <w:szCs w:val="21"/>
          <w:highlight w:val="none"/>
        </w:rPr>
        <w:t>本供应商对上述声明的真实性负责。如有虚假，将依法承担相应责任。</w:t>
      </w:r>
    </w:p>
    <w:p>
      <w:pPr>
        <w:pStyle w:val="12"/>
        <w:widowControl/>
        <w:spacing w:before="75" w:beforeAutospacing="0" w:after="75" w:afterAutospacing="0" w:line="435" w:lineRule="atLeast"/>
        <w:ind w:firstLine="420"/>
        <w:jc w:val="both"/>
        <w:rPr>
          <w:rFonts w:ascii="宋体" w:hAnsi="宋体" w:cs="宋体"/>
          <w:color w:val="auto"/>
          <w:sz w:val="21"/>
          <w:szCs w:val="21"/>
          <w:highlight w:val="none"/>
        </w:rPr>
      </w:pPr>
      <w:r>
        <w:rPr>
          <w:rFonts w:hint="eastAsia" w:ascii="宋体" w:hAnsi="宋体" w:cs="宋体"/>
          <w:color w:val="auto"/>
          <w:sz w:val="21"/>
          <w:szCs w:val="21"/>
          <w:highlight w:val="none"/>
        </w:rPr>
        <w:t> </w:t>
      </w:r>
    </w:p>
    <w:p>
      <w:pPr>
        <w:pStyle w:val="12"/>
        <w:widowControl/>
        <w:spacing w:before="75" w:beforeAutospacing="0" w:after="75" w:afterAutospacing="0" w:line="435" w:lineRule="atLeast"/>
        <w:jc w:val="both"/>
        <w:rPr>
          <w:rFonts w:ascii="宋体" w:hAnsi="宋体" w:cs="宋体"/>
          <w:color w:val="auto"/>
          <w:sz w:val="21"/>
          <w:szCs w:val="21"/>
          <w:highlight w:val="none"/>
        </w:rPr>
      </w:pPr>
      <w:r>
        <w:rPr>
          <w:rFonts w:hint="eastAsia" w:ascii="宋体" w:hAnsi="宋体" w:cs="宋体"/>
          <w:color w:val="auto"/>
          <w:sz w:val="21"/>
          <w:szCs w:val="21"/>
          <w:highlight w:val="none"/>
        </w:rPr>
        <w:t> </w:t>
      </w:r>
    </w:p>
    <w:p>
      <w:pPr>
        <w:pStyle w:val="12"/>
        <w:widowControl/>
        <w:spacing w:before="75" w:beforeAutospacing="0" w:after="75" w:afterAutospacing="0" w:line="435" w:lineRule="atLeast"/>
        <w:jc w:val="both"/>
        <w:rPr>
          <w:rFonts w:ascii="宋体" w:hAnsi="宋体" w:cs="宋体"/>
          <w:color w:val="auto"/>
          <w:sz w:val="21"/>
          <w:szCs w:val="21"/>
          <w:highlight w:val="none"/>
        </w:rPr>
      </w:pPr>
      <w:r>
        <w:rPr>
          <w:rFonts w:hint="eastAsia" w:ascii="宋体" w:hAnsi="宋体" w:cs="宋体"/>
          <w:color w:val="auto"/>
          <w:sz w:val="21"/>
          <w:szCs w:val="21"/>
          <w:highlight w:val="none"/>
        </w:rPr>
        <w:t>供应商代表：</w:t>
      </w:r>
      <w:r>
        <w:rPr>
          <w:rFonts w:hint="eastAsia" w:ascii="宋体" w:hAnsi="宋体" w:cs="宋体"/>
          <w:color w:val="auto"/>
          <w:sz w:val="21"/>
          <w:szCs w:val="21"/>
          <w:highlight w:val="none"/>
          <w:u w:val="single"/>
        </w:rPr>
        <w:t>             （签字） </w:t>
      </w:r>
    </w:p>
    <w:p>
      <w:pPr>
        <w:pStyle w:val="12"/>
        <w:widowControl/>
        <w:spacing w:before="75" w:beforeAutospacing="0" w:after="75" w:afterAutospacing="0" w:line="435" w:lineRule="atLeast"/>
        <w:jc w:val="both"/>
        <w:rPr>
          <w:rFonts w:ascii="宋体" w:hAnsi="宋体" w:cs="宋体"/>
          <w:color w:val="auto"/>
          <w:sz w:val="21"/>
          <w:szCs w:val="21"/>
          <w:highlight w:val="none"/>
        </w:rPr>
      </w:pPr>
      <w:r>
        <w:rPr>
          <w:rFonts w:hint="eastAsia" w:ascii="宋体" w:hAnsi="宋体" w:cs="宋体"/>
          <w:color w:val="auto"/>
          <w:sz w:val="21"/>
          <w:szCs w:val="21"/>
          <w:highlight w:val="none"/>
        </w:rPr>
        <w:t>供应商名称：</w:t>
      </w:r>
      <w:r>
        <w:rPr>
          <w:rFonts w:hint="eastAsia" w:ascii="宋体" w:hAnsi="宋体" w:cs="宋体"/>
          <w:color w:val="auto"/>
          <w:sz w:val="21"/>
          <w:szCs w:val="21"/>
          <w:highlight w:val="none"/>
          <w:u w:val="single"/>
        </w:rPr>
        <w:t>         （全称并加盖公章）              </w:t>
      </w:r>
    </w:p>
    <w:p>
      <w:pPr>
        <w:pStyle w:val="12"/>
        <w:widowControl/>
        <w:spacing w:before="75" w:beforeAutospacing="0" w:after="75" w:afterAutospacing="0" w:line="435" w:lineRule="atLeast"/>
        <w:jc w:val="both"/>
        <w:rPr>
          <w:rFonts w:ascii="宋体" w:hAnsi="宋体" w:cs="宋体"/>
          <w:color w:val="auto"/>
          <w:sz w:val="21"/>
          <w:szCs w:val="21"/>
          <w:highlight w:val="none"/>
        </w:rPr>
      </w:pPr>
      <w:r>
        <w:rPr>
          <w:rFonts w:hint="eastAsia" w:ascii="宋体" w:hAnsi="宋体" w:cs="宋体"/>
          <w:color w:val="auto"/>
          <w:sz w:val="21"/>
          <w:szCs w:val="21"/>
          <w:highlight w:val="none"/>
        </w:rPr>
        <w:t>日  期： </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年 </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月 </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日</w:t>
      </w:r>
    </w:p>
    <w:p>
      <w:pPr>
        <w:pStyle w:val="12"/>
        <w:widowControl/>
        <w:spacing w:before="75" w:beforeAutospacing="0" w:after="75" w:afterAutospacing="0" w:line="420" w:lineRule="atLeast"/>
        <w:ind w:firstLine="480"/>
        <w:rPr>
          <w:rFonts w:ascii="宋体" w:hAnsi="宋体" w:cs="宋体"/>
          <w:color w:val="auto"/>
          <w:sz w:val="21"/>
          <w:szCs w:val="21"/>
          <w:highlight w:val="none"/>
        </w:rPr>
      </w:pPr>
      <w:r>
        <w:rPr>
          <w:rFonts w:hint="eastAsia" w:ascii="宋体" w:hAnsi="宋体" w:cs="宋体"/>
          <w:color w:val="auto"/>
          <w:sz w:val="21"/>
          <w:szCs w:val="21"/>
          <w:highlight w:val="none"/>
        </w:rPr>
        <w:t>备注：（1）若供应商不符合残疾人福利性单位，不用提供本声明函，否则视为提供虚假材料。供应商在提交最后报价时，如果没有同时向磋商小组提交上述声明函，视同为供应商不符合残疾人福利性单位，不享受价格扣除的优惠政策。</w:t>
      </w:r>
    </w:p>
    <w:p>
      <w:pPr>
        <w:pStyle w:val="12"/>
        <w:widowControl/>
        <w:spacing w:before="75" w:beforeAutospacing="0" w:after="75" w:afterAutospacing="0" w:line="420" w:lineRule="atLeast"/>
        <w:ind w:firstLine="480"/>
        <w:rPr>
          <w:rFonts w:ascii="宋体" w:hAnsi="宋体" w:cs="宋体"/>
          <w:color w:val="auto"/>
          <w:sz w:val="21"/>
          <w:szCs w:val="21"/>
          <w:highlight w:val="none"/>
        </w:rPr>
      </w:pPr>
      <w:r>
        <w:rPr>
          <w:rFonts w:hint="eastAsia" w:ascii="宋体" w:hAnsi="宋体" w:cs="宋体"/>
          <w:color w:val="auto"/>
          <w:sz w:val="21"/>
          <w:szCs w:val="21"/>
          <w:highlight w:val="none"/>
        </w:rPr>
        <w:t>（2）请供应商按照实际情况编制填写本声明函，并在相应的（）中打“√”。</w:t>
      </w:r>
    </w:p>
    <w:p>
      <w:pPr>
        <w:pStyle w:val="12"/>
        <w:widowControl/>
        <w:spacing w:before="75" w:beforeAutospacing="0" w:after="75" w:afterAutospacing="0" w:line="420" w:lineRule="atLeast"/>
        <w:ind w:firstLine="480"/>
        <w:rPr>
          <w:rFonts w:ascii="宋体" w:hAnsi="宋体" w:cs="宋体"/>
          <w:color w:val="auto"/>
          <w:sz w:val="21"/>
          <w:szCs w:val="21"/>
          <w:highlight w:val="none"/>
        </w:rPr>
      </w:pPr>
      <w:r>
        <w:rPr>
          <w:rFonts w:hint="eastAsia" w:ascii="宋体" w:hAnsi="宋体" w:cs="宋体"/>
          <w:color w:val="auto"/>
          <w:sz w:val="21"/>
          <w:szCs w:val="21"/>
          <w:highlight w:val="none"/>
        </w:rPr>
        <w:t>（3）纸质响应文件正本中的本声明函（若有）应为原件。</w:t>
      </w:r>
    </w:p>
    <w:p>
      <w:pPr>
        <w:pStyle w:val="12"/>
        <w:widowControl/>
        <w:spacing w:before="75" w:beforeAutospacing="0" w:after="75" w:afterAutospacing="0" w:line="420" w:lineRule="atLeast"/>
        <w:ind w:firstLine="480"/>
        <w:rPr>
          <w:rFonts w:ascii="宋体" w:hAnsi="宋体" w:cs="宋体"/>
          <w:color w:val="auto"/>
          <w:sz w:val="21"/>
          <w:szCs w:val="21"/>
          <w:highlight w:val="none"/>
        </w:rPr>
      </w:pPr>
      <w:r>
        <w:rPr>
          <w:rFonts w:hint="eastAsia" w:ascii="宋体" w:hAnsi="宋体" w:cs="宋体"/>
          <w:color w:val="auto"/>
          <w:sz w:val="21"/>
          <w:szCs w:val="21"/>
          <w:highlight w:val="none"/>
        </w:rPr>
        <w:t>（4）若《残疾人福利性单位声明函》内容不真实，视为提供虚假材料。</w:t>
      </w:r>
    </w:p>
    <w:p>
      <w:pPr>
        <w:pStyle w:val="12"/>
        <w:widowControl/>
        <w:spacing w:before="75" w:beforeAutospacing="0" w:after="75" w:afterAutospacing="0"/>
        <w:rPr>
          <w:rFonts w:ascii="宋体" w:hAnsi="宋体" w:cs="宋体"/>
          <w:color w:val="auto"/>
          <w:sz w:val="21"/>
          <w:szCs w:val="21"/>
          <w:highlight w:val="none"/>
        </w:rPr>
      </w:pPr>
      <w:r>
        <w:rPr>
          <w:rFonts w:hint="eastAsia" w:ascii="宋体" w:hAnsi="宋体" w:cs="宋体"/>
          <w:color w:val="auto"/>
          <w:sz w:val="21"/>
          <w:szCs w:val="21"/>
          <w:highlight w:val="none"/>
        </w:rPr>
        <w:t> </w:t>
      </w:r>
    </w:p>
    <w:p>
      <w:pPr>
        <w:pStyle w:val="12"/>
        <w:widowControl/>
        <w:spacing w:before="75" w:beforeAutospacing="0" w:after="75" w:afterAutospacing="0"/>
        <w:rPr>
          <w:rFonts w:ascii="宋体" w:hAnsi="宋体" w:cs="宋体"/>
          <w:color w:val="auto"/>
          <w:sz w:val="21"/>
          <w:szCs w:val="21"/>
          <w:highlight w:val="none"/>
        </w:rPr>
      </w:pPr>
      <w:r>
        <w:rPr>
          <w:rFonts w:hint="eastAsia" w:ascii="宋体" w:hAnsi="宋体" w:cs="宋体"/>
          <w:color w:val="auto"/>
          <w:sz w:val="21"/>
          <w:szCs w:val="21"/>
          <w:highlight w:val="none"/>
        </w:rPr>
        <w:t> </w:t>
      </w:r>
    </w:p>
    <w:p>
      <w:pPr>
        <w:pStyle w:val="12"/>
        <w:widowControl/>
        <w:spacing w:before="75" w:beforeAutospacing="0" w:after="75" w:afterAutospacing="0"/>
        <w:jc w:val="center"/>
        <w:rPr>
          <w:rFonts w:ascii="宋体" w:hAnsi="宋体" w:cs="宋体"/>
          <w:color w:val="auto"/>
          <w:sz w:val="21"/>
          <w:szCs w:val="21"/>
          <w:highlight w:val="none"/>
        </w:rPr>
      </w:pPr>
    </w:p>
    <w:p>
      <w:pPr>
        <w:pStyle w:val="12"/>
        <w:widowControl/>
        <w:spacing w:before="75" w:beforeAutospacing="0" w:after="75" w:afterAutospacing="0"/>
        <w:jc w:val="center"/>
        <w:rPr>
          <w:rFonts w:ascii="宋体" w:hAnsi="宋体" w:cs="宋体"/>
          <w:color w:val="auto"/>
          <w:sz w:val="21"/>
          <w:szCs w:val="21"/>
          <w:highlight w:val="none"/>
        </w:rPr>
      </w:pPr>
    </w:p>
    <w:p>
      <w:pPr>
        <w:pStyle w:val="12"/>
        <w:widowControl/>
        <w:spacing w:before="75" w:beforeAutospacing="0" w:after="75" w:afterAutospacing="0"/>
        <w:jc w:val="center"/>
        <w:rPr>
          <w:rFonts w:ascii="宋体" w:hAnsi="宋体" w:cs="宋体"/>
          <w:color w:val="auto"/>
          <w:sz w:val="21"/>
          <w:szCs w:val="21"/>
          <w:highlight w:val="none"/>
        </w:rPr>
      </w:pPr>
      <w:r>
        <w:rPr>
          <w:rFonts w:hint="eastAsia" w:ascii="宋体" w:hAnsi="宋体" w:cs="宋体"/>
          <w:color w:val="auto"/>
          <w:sz w:val="21"/>
          <w:szCs w:val="21"/>
          <w:highlight w:val="none"/>
        </w:rPr>
        <w:br w:type="page"/>
      </w:r>
      <w:r>
        <w:rPr>
          <w:rFonts w:hint="eastAsia" w:ascii="宋体" w:hAnsi="宋体" w:cs="宋体"/>
          <w:b/>
          <w:bCs/>
          <w:color w:val="auto"/>
          <w:sz w:val="21"/>
          <w:szCs w:val="21"/>
          <w:highlight w:val="none"/>
        </w:rPr>
        <w:t xml:space="preserve">附件7-2    </w:t>
      </w:r>
      <w:r>
        <w:rPr>
          <w:rStyle w:val="18"/>
          <w:rFonts w:hint="eastAsia" w:ascii="宋体" w:hAnsi="宋体" w:cs="宋体"/>
          <w:bCs/>
          <w:color w:val="auto"/>
          <w:sz w:val="21"/>
          <w:szCs w:val="21"/>
          <w:highlight w:val="none"/>
        </w:rPr>
        <w:t>优先类节能产品、环境标志产品价格扣除证明材料（如果有的话）</w:t>
      </w:r>
    </w:p>
    <w:p>
      <w:pPr>
        <w:pStyle w:val="12"/>
        <w:widowControl/>
        <w:spacing w:before="75" w:beforeAutospacing="0" w:after="75" w:afterAutospacing="0"/>
        <w:jc w:val="both"/>
        <w:rPr>
          <w:rFonts w:ascii="宋体" w:hAnsi="宋体" w:cs="宋体"/>
          <w:color w:val="auto"/>
          <w:sz w:val="21"/>
          <w:szCs w:val="21"/>
          <w:highlight w:val="none"/>
        </w:rPr>
      </w:pPr>
      <w:r>
        <w:rPr>
          <w:rFonts w:hint="eastAsia" w:ascii="宋体" w:hAnsi="宋体" w:cs="宋体"/>
          <w:color w:val="auto"/>
          <w:sz w:val="21"/>
          <w:szCs w:val="21"/>
          <w:highlight w:val="none"/>
        </w:rPr>
        <w:t>              </w:t>
      </w:r>
    </w:p>
    <w:tbl>
      <w:tblPr>
        <w:tblStyle w:val="15"/>
        <w:tblW w:w="0" w:type="auto"/>
        <w:tblCellSpacing w:w="15" w:type="dxa"/>
        <w:tblInd w:w="-15"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15" w:type="dxa"/>
          <w:left w:w="15" w:type="dxa"/>
          <w:bottom w:w="15" w:type="dxa"/>
          <w:right w:w="15" w:type="dxa"/>
        </w:tblCellMar>
      </w:tblPr>
      <w:tblGrid>
        <w:gridCol w:w="1423"/>
        <w:gridCol w:w="1422"/>
        <w:gridCol w:w="1414"/>
        <w:gridCol w:w="1428"/>
        <w:gridCol w:w="1414"/>
        <w:gridCol w:w="1428"/>
        <w:gridCol w:w="1451"/>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354" w:hRule="atLeast"/>
          <w:tblCellSpacing w:w="15" w:type="dxa"/>
        </w:trPr>
        <w:tc>
          <w:tcPr>
            <w:tcW w:w="1378" w:type="dxa"/>
            <w:tcBorders>
              <w:top w:val="nil"/>
              <w:left w:val="nil"/>
              <w:bottom w:val="nil"/>
              <w:right w:val="nil"/>
            </w:tcBorders>
            <w:tcMar>
              <w:top w:w="0" w:type="dxa"/>
              <w:left w:w="105" w:type="dxa"/>
              <w:bottom w:w="0" w:type="dxa"/>
              <w:right w:w="105" w:type="dxa"/>
            </w:tcMar>
            <w:vAlign w:val="center"/>
          </w:tcPr>
          <w:p>
            <w:pPr>
              <w:keepNext w:val="0"/>
              <w:keepLines w:val="0"/>
              <w:widowControl/>
              <w:suppressLineNumbers w:val="0"/>
              <w:spacing w:before="0" w:beforeAutospacing="0" w:after="0" w:afterAutospacing="0"/>
              <w:ind w:left="0" w:right="0"/>
              <w:jc w:val="left"/>
              <w:rPr>
                <w:rFonts w:hint="default" w:ascii="宋体" w:hAnsi="宋体" w:cs="宋体"/>
                <w:color w:val="auto"/>
                <w:szCs w:val="21"/>
                <w:highlight w:val="none"/>
              </w:rPr>
            </w:pPr>
          </w:p>
        </w:tc>
        <w:tc>
          <w:tcPr>
            <w:tcW w:w="8512" w:type="dxa"/>
            <w:gridSpan w:val="6"/>
            <w:tcBorders>
              <w:top w:val="nil"/>
              <w:left w:val="nil"/>
              <w:bottom w:val="nil"/>
              <w:right w:val="nil"/>
            </w:tcBorders>
            <w:tcMar>
              <w:top w:w="0" w:type="dxa"/>
              <w:left w:w="105" w:type="dxa"/>
              <w:bottom w:w="0" w:type="dxa"/>
              <w:right w:w="105" w:type="dxa"/>
            </w:tcMar>
            <w:vAlign w:val="center"/>
          </w:tcPr>
          <w:p>
            <w:pPr>
              <w:pStyle w:val="12"/>
              <w:keepNext w:val="0"/>
              <w:keepLines w:val="0"/>
              <w:widowControl/>
              <w:suppressLineNumbers w:val="0"/>
              <w:spacing w:before="0" w:beforeAutospacing="0" w:after="0" w:afterAutospacing="0"/>
              <w:ind w:left="0" w:right="0"/>
              <w:jc w:val="center"/>
              <w:rPr>
                <w:rFonts w:hint="default" w:ascii="宋体" w:hAnsi="宋体" w:cs="宋体"/>
                <w:color w:val="auto"/>
                <w:sz w:val="21"/>
                <w:szCs w:val="21"/>
                <w:highlight w:val="none"/>
              </w:rPr>
            </w:pPr>
            <w:r>
              <w:rPr>
                <w:rFonts w:hint="eastAsia" w:ascii="宋体" w:hAnsi="宋体" w:cs="宋体"/>
                <w:color w:val="auto"/>
                <w:sz w:val="21"/>
                <w:szCs w:val="21"/>
                <w:highlight w:val="none"/>
              </w:rPr>
              <w:t>本采购包内属于节能、环境标志产品的情况</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918" w:hRule="atLeast"/>
          <w:tblCellSpacing w:w="15" w:type="dxa"/>
        </w:trPr>
        <w:tc>
          <w:tcPr>
            <w:tcW w:w="1378" w:type="dxa"/>
            <w:tcBorders>
              <w:top w:val="nil"/>
              <w:left w:val="nil"/>
              <w:bottom w:val="nil"/>
              <w:right w:val="nil"/>
            </w:tcBorders>
            <w:tcMar>
              <w:top w:w="0" w:type="dxa"/>
              <w:left w:w="105" w:type="dxa"/>
              <w:bottom w:w="0" w:type="dxa"/>
              <w:right w:w="105" w:type="dxa"/>
            </w:tcMar>
            <w:vAlign w:val="center"/>
          </w:tcPr>
          <w:p>
            <w:pPr>
              <w:pStyle w:val="12"/>
              <w:keepNext w:val="0"/>
              <w:keepLines w:val="0"/>
              <w:widowControl/>
              <w:suppressLineNumbers w:val="0"/>
              <w:spacing w:before="0" w:beforeAutospacing="0" w:after="0" w:afterAutospacing="0"/>
              <w:ind w:left="0" w:right="0"/>
              <w:jc w:val="center"/>
              <w:rPr>
                <w:rFonts w:hint="default" w:ascii="宋体" w:hAnsi="宋体" w:cs="宋体"/>
                <w:color w:val="auto"/>
                <w:sz w:val="21"/>
                <w:szCs w:val="21"/>
                <w:highlight w:val="none"/>
              </w:rPr>
            </w:pPr>
            <w:r>
              <w:rPr>
                <w:rFonts w:hint="eastAsia" w:ascii="宋体" w:hAnsi="宋体" w:cs="宋体"/>
                <w:color w:val="auto"/>
                <w:sz w:val="21"/>
                <w:szCs w:val="21"/>
                <w:highlight w:val="none"/>
              </w:rPr>
              <w:t>采购包</w:t>
            </w:r>
          </w:p>
        </w:tc>
        <w:tc>
          <w:tcPr>
            <w:tcW w:w="1392" w:type="dxa"/>
            <w:tcBorders>
              <w:top w:val="nil"/>
              <w:left w:val="nil"/>
              <w:bottom w:val="nil"/>
              <w:right w:val="nil"/>
            </w:tcBorders>
            <w:tcMar>
              <w:top w:w="0" w:type="dxa"/>
              <w:left w:w="105" w:type="dxa"/>
              <w:bottom w:w="0" w:type="dxa"/>
              <w:right w:w="105" w:type="dxa"/>
            </w:tcMar>
            <w:vAlign w:val="center"/>
          </w:tcPr>
          <w:p>
            <w:pPr>
              <w:pStyle w:val="12"/>
              <w:keepNext w:val="0"/>
              <w:keepLines w:val="0"/>
              <w:widowControl/>
              <w:suppressLineNumbers w:val="0"/>
              <w:spacing w:before="0" w:beforeAutospacing="0" w:after="0" w:afterAutospacing="0"/>
              <w:ind w:left="0" w:right="0"/>
              <w:jc w:val="center"/>
              <w:rPr>
                <w:rFonts w:hint="default" w:ascii="宋体" w:hAnsi="宋体" w:cs="宋体"/>
                <w:color w:val="auto"/>
                <w:sz w:val="21"/>
                <w:szCs w:val="21"/>
                <w:highlight w:val="none"/>
              </w:rPr>
            </w:pPr>
            <w:r>
              <w:rPr>
                <w:rFonts w:hint="eastAsia" w:ascii="宋体" w:hAnsi="宋体" w:cs="宋体"/>
                <w:color w:val="auto"/>
                <w:sz w:val="21"/>
                <w:szCs w:val="21"/>
                <w:highlight w:val="none"/>
              </w:rPr>
              <w:t>品目号</w:t>
            </w:r>
          </w:p>
        </w:tc>
        <w:tc>
          <w:tcPr>
            <w:tcW w:w="1384" w:type="dxa"/>
            <w:tcBorders>
              <w:top w:val="nil"/>
              <w:left w:val="nil"/>
              <w:bottom w:val="nil"/>
              <w:right w:val="nil"/>
            </w:tcBorders>
            <w:tcMar>
              <w:top w:w="0" w:type="dxa"/>
              <w:left w:w="105" w:type="dxa"/>
              <w:bottom w:w="0" w:type="dxa"/>
              <w:right w:w="105" w:type="dxa"/>
            </w:tcMar>
            <w:vAlign w:val="center"/>
          </w:tcPr>
          <w:p>
            <w:pPr>
              <w:pStyle w:val="12"/>
              <w:keepNext w:val="0"/>
              <w:keepLines w:val="0"/>
              <w:widowControl/>
              <w:suppressLineNumbers w:val="0"/>
              <w:spacing w:before="0" w:beforeAutospacing="0" w:after="0" w:afterAutospacing="0"/>
              <w:ind w:left="0" w:right="0"/>
              <w:jc w:val="center"/>
              <w:rPr>
                <w:rFonts w:hint="default" w:ascii="宋体" w:hAnsi="宋体" w:cs="宋体"/>
                <w:color w:val="auto"/>
                <w:sz w:val="21"/>
                <w:szCs w:val="21"/>
                <w:highlight w:val="none"/>
              </w:rPr>
            </w:pPr>
            <w:r>
              <w:rPr>
                <w:rFonts w:hint="eastAsia" w:ascii="宋体" w:hAnsi="宋体" w:cs="宋体"/>
                <w:color w:val="auto"/>
                <w:sz w:val="21"/>
                <w:szCs w:val="21"/>
                <w:highlight w:val="none"/>
              </w:rPr>
              <w:t>产品名称</w:t>
            </w:r>
          </w:p>
        </w:tc>
        <w:tc>
          <w:tcPr>
            <w:tcW w:w="1398" w:type="dxa"/>
            <w:tcBorders>
              <w:top w:val="nil"/>
              <w:left w:val="nil"/>
              <w:bottom w:val="nil"/>
              <w:right w:val="nil"/>
            </w:tcBorders>
            <w:tcMar>
              <w:top w:w="0" w:type="dxa"/>
              <w:left w:w="105" w:type="dxa"/>
              <w:bottom w:w="0" w:type="dxa"/>
              <w:right w:w="105" w:type="dxa"/>
            </w:tcMar>
            <w:vAlign w:val="center"/>
          </w:tcPr>
          <w:p>
            <w:pPr>
              <w:pStyle w:val="12"/>
              <w:keepNext w:val="0"/>
              <w:keepLines w:val="0"/>
              <w:widowControl/>
              <w:suppressLineNumbers w:val="0"/>
              <w:spacing w:before="0" w:beforeAutospacing="0" w:after="0" w:afterAutospacing="0"/>
              <w:ind w:left="0" w:right="0"/>
              <w:jc w:val="center"/>
              <w:rPr>
                <w:rFonts w:hint="default" w:ascii="宋体" w:hAnsi="宋体" w:cs="宋体"/>
                <w:color w:val="auto"/>
                <w:sz w:val="21"/>
                <w:szCs w:val="21"/>
                <w:highlight w:val="none"/>
              </w:rPr>
            </w:pPr>
            <w:r>
              <w:rPr>
                <w:rFonts w:hint="eastAsia" w:ascii="宋体" w:hAnsi="宋体" w:cs="宋体"/>
                <w:color w:val="auto"/>
                <w:sz w:val="21"/>
                <w:szCs w:val="21"/>
                <w:highlight w:val="none"/>
              </w:rPr>
              <w:t>最后报价单价</w:t>
            </w:r>
          </w:p>
          <w:p>
            <w:pPr>
              <w:pStyle w:val="12"/>
              <w:keepNext w:val="0"/>
              <w:keepLines w:val="0"/>
              <w:widowControl/>
              <w:suppressLineNumbers w:val="0"/>
              <w:spacing w:before="0" w:beforeAutospacing="0" w:after="0" w:afterAutospacing="0"/>
              <w:ind w:left="0" w:right="0"/>
              <w:jc w:val="center"/>
              <w:rPr>
                <w:rFonts w:hint="default" w:ascii="宋体" w:hAnsi="宋体" w:cs="宋体"/>
                <w:color w:val="auto"/>
                <w:sz w:val="21"/>
                <w:szCs w:val="21"/>
                <w:highlight w:val="none"/>
              </w:rPr>
            </w:pPr>
            <w:r>
              <w:rPr>
                <w:rFonts w:hint="eastAsia" w:ascii="宋体" w:hAnsi="宋体" w:cs="宋体"/>
                <w:color w:val="auto"/>
                <w:sz w:val="21"/>
                <w:szCs w:val="21"/>
                <w:highlight w:val="none"/>
              </w:rPr>
              <w:t>（现场）</w:t>
            </w:r>
          </w:p>
        </w:tc>
        <w:tc>
          <w:tcPr>
            <w:tcW w:w="1384" w:type="dxa"/>
            <w:tcBorders>
              <w:top w:val="nil"/>
              <w:left w:val="nil"/>
              <w:bottom w:val="nil"/>
              <w:right w:val="nil"/>
            </w:tcBorders>
            <w:tcMar>
              <w:top w:w="0" w:type="dxa"/>
              <w:left w:w="105" w:type="dxa"/>
              <w:bottom w:w="0" w:type="dxa"/>
              <w:right w:w="105" w:type="dxa"/>
            </w:tcMar>
            <w:vAlign w:val="center"/>
          </w:tcPr>
          <w:p>
            <w:pPr>
              <w:pStyle w:val="12"/>
              <w:keepNext w:val="0"/>
              <w:keepLines w:val="0"/>
              <w:widowControl/>
              <w:suppressLineNumbers w:val="0"/>
              <w:spacing w:before="0" w:beforeAutospacing="0" w:after="0" w:afterAutospacing="0"/>
              <w:ind w:left="0" w:right="0"/>
              <w:jc w:val="center"/>
              <w:rPr>
                <w:rFonts w:hint="default" w:ascii="宋体" w:hAnsi="宋体" w:cs="宋体"/>
                <w:color w:val="auto"/>
                <w:sz w:val="21"/>
                <w:szCs w:val="21"/>
                <w:highlight w:val="none"/>
              </w:rPr>
            </w:pPr>
            <w:r>
              <w:rPr>
                <w:rFonts w:hint="eastAsia" w:ascii="宋体" w:hAnsi="宋体" w:cs="宋体"/>
                <w:color w:val="auto"/>
                <w:sz w:val="21"/>
                <w:szCs w:val="21"/>
                <w:highlight w:val="none"/>
              </w:rPr>
              <w:t>数量</w:t>
            </w:r>
          </w:p>
        </w:tc>
        <w:tc>
          <w:tcPr>
            <w:tcW w:w="1398" w:type="dxa"/>
            <w:tcBorders>
              <w:top w:val="nil"/>
              <w:left w:val="nil"/>
              <w:bottom w:val="nil"/>
              <w:right w:val="nil"/>
            </w:tcBorders>
            <w:tcMar>
              <w:top w:w="0" w:type="dxa"/>
              <w:left w:w="105" w:type="dxa"/>
              <w:bottom w:w="0" w:type="dxa"/>
              <w:right w:w="105" w:type="dxa"/>
            </w:tcMar>
            <w:vAlign w:val="center"/>
          </w:tcPr>
          <w:p>
            <w:pPr>
              <w:pStyle w:val="12"/>
              <w:keepNext w:val="0"/>
              <w:keepLines w:val="0"/>
              <w:widowControl/>
              <w:suppressLineNumbers w:val="0"/>
              <w:spacing w:before="0" w:beforeAutospacing="0" w:after="0" w:afterAutospacing="0"/>
              <w:ind w:left="0" w:right="0"/>
              <w:jc w:val="center"/>
              <w:rPr>
                <w:rFonts w:hint="default" w:ascii="宋体" w:hAnsi="宋体" w:cs="宋体"/>
                <w:color w:val="auto"/>
                <w:sz w:val="21"/>
                <w:szCs w:val="21"/>
                <w:highlight w:val="none"/>
              </w:rPr>
            </w:pPr>
            <w:r>
              <w:rPr>
                <w:rFonts w:hint="eastAsia" w:ascii="宋体" w:hAnsi="宋体" w:cs="宋体"/>
                <w:color w:val="auto"/>
                <w:sz w:val="21"/>
                <w:szCs w:val="21"/>
                <w:highlight w:val="none"/>
              </w:rPr>
              <w:t>最后报价总价</w:t>
            </w:r>
          </w:p>
          <w:p>
            <w:pPr>
              <w:pStyle w:val="12"/>
              <w:keepNext w:val="0"/>
              <w:keepLines w:val="0"/>
              <w:widowControl/>
              <w:suppressLineNumbers w:val="0"/>
              <w:spacing w:before="0" w:beforeAutospacing="0" w:after="0" w:afterAutospacing="0"/>
              <w:ind w:left="0" w:right="0"/>
              <w:jc w:val="center"/>
              <w:rPr>
                <w:rFonts w:hint="default" w:ascii="宋体" w:hAnsi="宋体" w:cs="宋体"/>
                <w:color w:val="auto"/>
                <w:sz w:val="21"/>
                <w:szCs w:val="21"/>
                <w:highlight w:val="none"/>
              </w:rPr>
            </w:pPr>
            <w:r>
              <w:rPr>
                <w:rFonts w:hint="eastAsia" w:ascii="宋体" w:hAnsi="宋体" w:cs="宋体"/>
                <w:color w:val="auto"/>
                <w:sz w:val="21"/>
                <w:szCs w:val="21"/>
                <w:highlight w:val="none"/>
              </w:rPr>
              <w:t>（现场）</w:t>
            </w:r>
          </w:p>
        </w:tc>
        <w:tc>
          <w:tcPr>
            <w:tcW w:w="1406" w:type="dxa"/>
            <w:tcBorders>
              <w:top w:val="nil"/>
              <w:left w:val="nil"/>
              <w:bottom w:val="nil"/>
              <w:right w:val="nil"/>
            </w:tcBorders>
            <w:tcMar>
              <w:top w:w="0" w:type="dxa"/>
              <w:left w:w="105" w:type="dxa"/>
              <w:bottom w:w="0" w:type="dxa"/>
              <w:right w:w="105" w:type="dxa"/>
            </w:tcMar>
            <w:vAlign w:val="center"/>
          </w:tcPr>
          <w:p>
            <w:pPr>
              <w:pStyle w:val="12"/>
              <w:keepNext w:val="0"/>
              <w:keepLines w:val="0"/>
              <w:widowControl/>
              <w:suppressLineNumbers w:val="0"/>
              <w:spacing w:before="0" w:beforeAutospacing="0" w:after="0" w:afterAutospacing="0"/>
              <w:ind w:left="0" w:right="0"/>
              <w:jc w:val="center"/>
              <w:rPr>
                <w:rFonts w:hint="default" w:ascii="宋体" w:hAnsi="宋体" w:cs="宋体"/>
                <w:color w:val="auto"/>
                <w:sz w:val="21"/>
                <w:szCs w:val="21"/>
                <w:highlight w:val="none"/>
              </w:rPr>
            </w:pPr>
            <w:r>
              <w:rPr>
                <w:rFonts w:hint="eastAsia" w:ascii="宋体" w:hAnsi="宋体" w:cs="宋体"/>
                <w:color w:val="auto"/>
                <w:sz w:val="21"/>
                <w:szCs w:val="21"/>
                <w:highlight w:val="none"/>
              </w:rPr>
              <w:t>认证种类</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325" w:hRule="atLeast"/>
          <w:tblCellSpacing w:w="15" w:type="dxa"/>
        </w:trPr>
        <w:tc>
          <w:tcPr>
            <w:tcW w:w="1378" w:type="dxa"/>
            <w:vMerge w:val="restart"/>
            <w:tcBorders>
              <w:top w:val="nil"/>
              <w:left w:val="nil"/>
              <w:bottom w:val="nil"/>
              <w:right w:val="nil"/>
            </w:tcBorders>
            <w:tcMar>
              <w:top w:w="0" w:type="dxa"/>
              <w:left w:w="105" w:type="dxa"/>
              <w:bottom w:w="0" w:type="dxa"/>
              <w:right w:w="105" w:type="dxa"/>
            </w:tcMar>
            <w:vAlign w:val="center"/>
          </w:tcPr>
          <w:p>
            <w:pPr>
              <w:pStyle w:val="12"/>
              <w:keepNext w:val="0"/>
              <w:keepLines w:val="0"/>
              <w:widowControl/>
              <w:suppressLineNumbers w:val="0"/>
              <w:spacing w:before="0" w:beforeAutospacing="0" w:after="0" w:afterAutospacing="0"/>
              <w:ind w:left="0" w:right="0"/>
              <w:jc w:val="center"/>
              <w:rPr>
                <w:rFonts w:hint="default" w:ascii="宋体" w:hAnsi="宋体" w:cs="宋体"/>
                <w:color w:val="auto"/>
                <w:sz w:val="21"/>
                <w:szCs w:val="21"/>
                <w:highlight w:val="none"/>
              </w:rPr>
            </w:pPr>
            <w:r>
              <w:rPr>
                <w:rFonts w:hint="eastAsia" w:ascii="宋体" w:hAnsi="宋体" w:cs="宋体"/>
                <w:color w:val="auto"/>
                <w:sz w:val="21"/>
                <w:szCs w:val="21"/>
                <w:highlight w:val="none"/>
              </w:rPr>
              <w:t>*</w:t>
            </w:r>
          </w:p>
        </w:tc>
        <w:tc>
          <w:tcPr>
            <w:tcW w:w="1392" w:type="dxa"/>
            <w:tcBorders>
              <w:top w:val="nil"/>
              <w:left w:val="nil"/>
              <w:bottom w:val="nil"/>
              <w:right w:val="nil"/>
            </w:tcBorders>
            <w:tcMar>
              <w:top w:w="0" w:type="dxa"/>
              <w:left w:w="105" w:type="dxa"/>
              <w:bottom w:w="0" w:type="dxa"/>
              <w:right w:w="105" w:type="dxa"/>
            </w:tcMar>
            <w:vAlign w:val="center"/>
          </w:tcPr>
          <w:p>
            <w:pPr>
              <w:pStyle w:val="12"/>
              <w:keepNext w:val="0"/>
              <w:keepLines w:val="0"/>
              <w:widowControl/>
              <w:suppressLineNumbers w:val="0"/>
              <w:spacing w:before="0" w:beforeAutospacing="0" w:after="0" w:afterAutospacing="0"/>
              <w:ind w:left="0" w:right="0"/>
              <w:jc w:val="center"/>
              <w:rPr>
                <w:rFonts w:hint="default" w:ascii="宋体" w:hAnsi="宋体" w:cs="宋体"/>
                <w:color w:val="auto"/>
                <w:sz w:val="21"/>
                <w:szCs w:val="21"/>
                <w:highlight w:val="none"/>
              </w:rPr>
            </w:pPr>
            <w:r>
              <w:rPr>
                <w:rFonts w:hint="eastAsia" w:ascii="宋体" w:hAnsi="宋体" w:cs="宋体"/>
                <w:color w:val="auto"/>
                <w:sz w:val="21"/>
                <w:szCs w:val="21"/>
                <w:highlight w:val="none"/>
              </w:rPr>
              <w:t>*-1</w:t>
            </w:r>
          </w:p>
        </w:tc>
        <w:tc>
          <w:tcPr>
            <w:tcW w:w="1384" w:type="dxa"/>
            <w:tcBorders>
              <w:top w:val="nil"/>
              <w:left w:val="nil"/>
              <w:bottom w:val="nil"/>
              <w:right w:val="nil"/>
            </w:tcBorders>
            <w:tcMar>
              <w:top w:w="0" w:type="dxa"/>
              <w:left w:w="105" w:type="dxa"/>
              <w:bottom w:w="0" w:type="dxa"/>
              <w:right w:w="105" w:type="dxa"/>
            </w:tcMar>
            <w:vAlign w:val="center"/>
          </w:tcPr>
          <w:p>
            <w:pPr>
              <w:keepNext w:val="0"/>
              <w:keepLines w:val="0"/>
              <w:widowControl/>
              <w:suppressLineNumbers w:val="0"/>
              <w:spacing w:before="0" w:beforeAutospacing="0" w:after="0" w:afterAutospacing="0"/>
              <w:ind w:left="0" w:right="0"/>
              <w:jc w:val="left"/>
              <w:rPr>
                <w:rFonts w:hint="default" w:ascii="宋体" w:hAnsi="宋体" w:cs="宋体"/>
                <w:color w:val="auto"/>
                <w:szCs w:val="21"/>
                <w:highlight w:val="none"/>
              </w:rPr>
            </w:pPr>
          </w:p>
        </w:tc>
        <w:tc>
          <w:tcPr>
            <w:tcW w:w="1398" w:type="dxa"/>
            <w:tcBorders>
              <w:top w:val="nil"/>
              <w:left w:val="nil"/>
              <w:bottom w:val="nil"/>
              <w:right w:val="nil"/>
            </w:tcBorders>
            <w:tcMar>
              <w:top w:w="0" w:type="dxa"/>
              <w:left w:w="105" w:type="dxa"/>
              <w:bottom w:w="0" w:type="dxa"/>
              <w:right w:w="105" w:type="dxa"/>
            </w:tcMar>
            <w:vAlign w:val="center"/>
          </w:tcPr>
          <w:p>
            <w:pPr>
              <w:keepNext w:val="0"/>
              <w:keepLines w:val="0"/>
              <w:widowControl/>
              <w:suppressLineNumbers w:val="0"/>
              <w:spacing w:before="0" w:beforeAutospacing="0" w:after="0" w:afterAutospacing="0"/>
              <w:ind w:left="0" w:right="0"/>
              <w:jc w:val="left"/>
              <w:rPr>
                <w:rFonts w:hint="default" w:ascii="宋体" w:hAnsi="宋体" w:cs="宋体"/>
                <w:color w:val="auto"/>
                <w:szCs w:val="21"/>
                <w:highlight w:val="none"/>
              </w:rPr>
            </w:pPr>
          </w:p>
        </w:tc>
        <w:tc>
          <w:tcPr>
            <w:tcW w:w="1384" w:type="dxa"/>
            <w:tcBorders>
              <w:top w:val="nil"/>
              <w:left w:val="nil"/>
              <w:bottom w:val="nil"/>
              <w:right w:val="nil"/>
            </w:tcBorders>
            <w:tcMar>
              <w:top w:w="0" w:type="dxa"/>
              <w:left w:w="105" w:type="dxa"/>
              <w:bottom w:w="0" w:type="dxa"/>
              <w:right w:w="105" w:type="dxa"/>
            </w:tcMar>
            <w:vAlign w:val="center"/>
          </w:tcPr>
          <w:p>
            <w:pPr>
              <w:keepNext w:val="0"/>
              <w:keepLines w:val="0"/>
              <w:widowControl/>
              <w:suppressLineNumbers w:val="0"/>
              <w:spacing w:before="0" w:beforeAutospacing="0" w:after="0" w:afterAutospacing="0"/>
              <w:ind w:left="0" w:right="0"/>
              <w:jc w:val="left"/>
              <w:rPr>
                <w:rFonts w:hint="default" w:ascii="宋体" w:hAnsi="宋体" w:cs="宋体"/>
                <w:color w:val="auto"/>
                <w:szCs w:val="21"/>
                <w:highlight w:val="none"/>
              </w:rPr>
            </w:pPr>
          </w:p>
        </w:tc>
        <w:tc>
          <w:tcPr>
            <w:tcW w:w="1398" w:type="dxa"/>
            <w:tcBorders>
              <w:top w:val="nil"/>
              <w:left w:val="nil"/>
              <w:bottom w:val="nil"/>
              <w:right w:val="nil"/>
            </w:tcBorders>
            <w:tcMar>
              <w:top w:w="0" w:type="dxa"/>
              <w:left w:w="105" w:type="dxa"/>
              <w:bottom w:w="0" w:type="dxa"/>
              <w:right w:w="105" w:type="dxa"/>
            </w:tcMar>
            <w:vAlign w:val="center"/>
          </w:tcPr>
          <w:p>
            <w:pPr>
              <w:keepNext w:val="0"/>
              <w:keepLines w:val="0"/>
              <w:widowControl/>
              <w:suppressLineNumbers w:val="0"/>
              <w:spacing w:before="0" w:beforeAutospacing="0" w:after="0" w:afterAutospacing="0"/>
              <w:ind w:left="0" w:right="0"/>
              <w:jc w:val="left"/>
              <w:rPr>
                <w:rFonts w:hint="default" w:ascii="宋体" w:hAnsi="宋体" w:cs="宋体"/>
                <w:color w:val="auto"/>
                <w:szCs w:val="21"/>
                <w:highlight w:val="none"/>
              </w:rPr>
            </w:pPr>
          </w:p>
        </w:tc>
        <w:tc>
          <w:tcPr>
            <w:tcW w:w="1406" w:type="dxa"/>
            <w:tcBorders>
              <w:top w:val="nil"/>
              <w:left w:val="nil"/>
              <w:bottom w:val="nil"/>
              <w:right w:val="nil"/>
            </w:tcBorders>
            <w:tcMar>
              <w:top w:w="0" w:type="dxa"/>
              <w:left w:w="105" w:type="dxa"/>
              <w:bottom w:w="0" w:type="dxa"/>
              <w:right w:w="105" w:type="dxa"/>
            </w:tcMar>
            <w:vAlign w:val="center"/>
          </w:tcPr>
          <w:p>
            <w:pPr>
              <w:keepNext w:val="0"/>
              <w:keepLines w:val="0"/>
              <w:widowControl/>
              <w:suppressLineNumbers w:val="0"/>
              <w:spacing w:before="0" w:beforeAutospacing="0" w:after="0" w:afterAutospacing="0"/>
              <w:ind w:left="0" w:right="0"/>
              <w:jc w:val="left"/>
              <w:rPr>
                <w:rFonts w:hint="default" w:ascii="宋体" w:hAnsi="宋体" w:cs="宋体"/>
                <w:color w:val="auto"/>
                <w:szCs w:val="21"/>
                <w:highlight w:val="none"/>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325" w:hRule="atLeast"/>
          <w:tblCellSpacing w:w="15" w:type="dxa"/>
        </w:trPr>
        <w:tc>
          <w:tcPr>
            <w:tcW w:w="1378" w:type="dxa"/>
            <w:vMerge w:val="continue"/>
            <w:tcBorders>
              <w:top w:val="nil"/>
              <w:left w:val="nil"/>
              <w:bottom w:val="nil"/>
              <w:right w:val="nil"/>
            </w:tcBorders>
            <w:tcMar>
              <w:top w:w="0" w:type="dxa"/>
              <w:left w:w="105" w:type="dxa"/>
              <w:bottom w:w="0" w:type="dxa"/>
              <w:right w:w="105" w:type="dxa"/>
            </w:tcMar>
            <w:vAlign w:val="center"/>
          </w:tcPr>
          <w:p>
            <w:pPr>
              <w:keepNext w:val="0"/>
              <w:keepLines w:val="0"/>
              <w:suppressLineNumbers w:val="0"/>
              <w:spacing w:before="0" w:beforeAutospacing="0" w:after="0" w:afterAutospacing="0"/>
              <w:ind w:left="0" w:right="0"/>
              <w:rPr>
                <w:rFonts w:hint="default" w:ascii="宋体" w:hAnsi="宋体" w:cs="宋体"/>
                <w:color w:val="auto"/>
                <w:szCs w:val="21"/>
                <w:highlight w:val="none"/>
              </w:rPr>
            </w:pPr>
          </w:p>
        </w:tc>
        <w:tc>
          <w:tcPr>
            <w:tcW w:w="1392" w:type="dxa"/>
            <w:tcBorders>
              <w:top w:val="nil"/>
              <w:left w:val="nil"/>
              <w:bottom w:val="nil"/>
              <w:right w:val="nil"/>
            </w:tcBorders>
            <w:tcMar>
              <w:top w:w="0" w:type="dxa"/>
              <w:left w:w="105" w:type="dxa"/>
              <w:bottom w:w="0" w:type="dxa"/>
              <w:right w:w="105" w:type="dxa"/>
            </w:tcMar>
            <w:vAlign w:val="center"/>
          </w:tcPr>
          <w:p>
            <w:pPr>
              <w:pStyle w:val="12"/>
              <w:keepNext w:val="0"/>
              <w:keepLines w:val="0"/>
              <w:widowControl/>
              <w:suppressLineNumbers w:val="0"/>
              <w:spacing w:before="0" w:beforeAutospacing="0" w:after="0" w:afterAutospacing="0"/>
              <w:ind w:left="0" w:right="0"/>
              <w:jc w:val="center"/>
              <w:rPr>
                <w:rFonts w:hint="default" w:ascii="宋体" w:hAnsi="宋体" w:cs="宋体"/>
                <w:color w:val="auto"/>
                <w:sz w:val="21"/>
                <w:szCs w:val="21"/>
                <w:highlight w:val="none"/>
              </w:rPr>
            </w:pPr>
            <w:r>
              <w:rPr>
                <w:rFonts w:hint="eastAsia" w:ascii="宋体" w:hAnsi="宋体" w:cs="宋体"/>
                <w:color w:val="auto"/>
                <w:sz w:val="21"/>
                <w:szCs w:val="21"/>
                <w:highlight w:val="none"/>
              </w:rPr>
              <w:t>…</w:t>
            </w:r>
          </w:p>
        </w:tc>
        <w:tc>
          <w:tcPr>
            <w:tcW w:w="1384" w:type="dxa"/>
            <w:tcBorders>
              <w:top w:val="nil"/>
              <w:left w:val="nil"/>
              <w:bottom w:val="nil"/>
              <w:right w:val="nil"/>
            </w:tcBorders>
            <w:tcMar>
              <w:top w:w="0" w:type="dxa"/>
              <w:left w:w="105" w:type="dxa"/>
              <w:bottom w:w="0" w:type="dxa"/>
              <w:right w:w="105" w:type="dxa"/>
            </w:tcMar>
            <w:vAlign w:val="center"/>
          </w:tcPr>
          <w:p>
            <w:pPr>
              <w:keepNext w:val="0"/>
              <w:keepLines w:val="0"/>
              <w:widowControl/>
              <w:suppressLineNumbers w:val="0"/>
              <w:spacing w:before="0" w:beforeAutospacing="0" w:after="0" w:afterAutospacing="0"/>
              <w:ind w:left="0" w:right="0"/>
              <w:jc w:val="left"/>
              <w:rPr>
                <w:rFonts w:hint="default" w:ascii="宋体" w:hAnsi="宋体" w:cs="宋体"/>
                <w:color w:val="auto"/>
                <w:szCs w:val="21"/>
                <w:highlight w:val="none"/>
              </w:rPr>
            </w:pPr>
          </w:p>
        </w:tc>
        <w:tc>
          <w:tcPr>
            <w:tcW w:w="1398" w:type="dxa"/>
            <w:tcBorders>
              <w:top w:val="nil"/>
              <w:left w:val="nil"/>
              <w:bottom w:val="nil"/>
              <w:right w:val="nil"/>
            </w:tcBorders>
            <w:tcMar>
              <w:top w:w="0" w:type="dxa"/>
              <w:left w:w="105" w:type="dxa"/>
              <w:bottom w:w="0" w:type="dxa"/>
              <w:right w:w="105" w:type="dxa"/>
            </w:tcMar>
            <w:vAlign w:val="center"/>
          </w:tcPr>
          <w:p>
            <w:pPr>
              <w:keepNext w:val="0"/>
              <w:keepLines w:val="0"/>
              <w:widowControl/>
              <w:suppressLineNumbers w:val="0"/>
              <w:spacing w:before="0" w:beforeAutospacing="0" w:after="0" w:afterAutospacing="0"/>
              <w:ind w:left="0" w:right="0"/>
              <w:jc w:val="left"/>
              <w:rPr>
                <w:rFonts w:hint="default" w:ascii="宋体" w:hAnsi="宋体" w:cs="宋体"/>
                <w:color w:val="auto"/>
                <w:szCs w:val="21"/>
                <w:highlight w:val="none"/>
              </w:rPr>
            </w:pPr>
          </w:p>
        </w:tc>
        <w:tc>
          <w:tcPr>
            <w:tcW w:w="1384" w:type="dxa"/>
            <w:tcBorders>
              <w:top w:val="nil"/>
              <w:left w:val="nil"/>
              <w:bottom w:val="nil"/>
              <w:right w:val="nil"/>
            </w:tcBorders>
            <w:tcMar>
              <w:top w:w="0" w:type="dxa"/>
              <w:left w:w="105" w:type="dxa"/>
              <w:bottom w:w="0" w:type="dxa"/>
              <w:right w:w="105" w:type="dxa"/>
            </w:tcMar>
            <w:vAlign w:val="center"/>
          </w:tcPr>
          <w:p>
            <w:pPr>
              <w:keepNext w:val="0"/>
              <w:keepLines w:val="0"/>
              <w:widowControl/>
              <w:suppressLineNumbers w:val="0"/>
              <w:spacing w:before="0" w:beforeAutospacing="0" w:after="0" w:afterAutospacing="0"/>
              <w:ind w:left="0" w:right="0"/>
              <w:jc w:val="left"/>
              <w:rPr>
                <w:rFonts w:hint="default" w:ascii="宋体" w:hAnsi="宋体" w:cs="宋体"/>
                <w:color w:val="auto"/>
                <w:szCs w:val="21"/>
                <w:highlight w:val="none"/>
              </w:rPr>
            </w:pPr>
          </w:p>
        </w:tc>
        <w:tc>
          <w:tcPr>
            <w:tcW w:w="1398" w:type="dxa"/>
            <w:tcBorders>
              <w:top w:val="nil"/>
              <w:left w:val="nil"/>
              <w:bottom w:val="nil"/>
              <w:right w:val="nil"/>
            </w:tcBorders>
            <w:tcMar>
              <w:top w:w="0" w:type="dxa"/>
              <w:left w:w="105" w:type="dxa"/>
              <w:bottom w:w="0" w:type="dxa"/>
              <w:right w:w="105" w:type="dxa"/>
            </w:tcMar>
            <w:vAlign w:val="center"/>
          </w:tcPr>
          <w:p>
            <w:pPr>
              <w:keepNext w:val="0"/>
              <w:keepLines w:val="0"/>
              <w:widowControl/>
              <w:suppressLineNumbers w:val="0"/>
              <w:spacing w:before="0" w:beforeAutospacing="0" w:after="0" w:afterAutospacing="0"/>
              <w:ind w:left="0" w:right="0"/>
              <w:jc w:val="left"/>
              <w:rPr>
                <w:rFonts w:hint="default" w:ascii="宋体" w:hAnsi="宋体" w:cs="宋体"/>
                <w:color w:val="auto"/>
                <w:szCs w:val="21"/>
                <w:highlight w:val="none"/>
              </w:rPr>
            </w:pPr>
          </w:p>
        </w:tc>
        <w:tc>
          <w:tcPr>
            <w:tcW w:w="1406" w:type="dxa"/>
            <w:tcBorders>
              <w:top w:val="nil"/>
              <w:left w:val="nil"/>
              <w:bottom w:val="nil"/>
              <w:right w:val="nil"/>
            </w:tcBorders>
            <w:tcMar>
              <w:top w:w="0" w:type="dxa"/>
              <w:left w:w="105" w:type="dxa"/>
              <w:bottom w:w="0" w:type="dxa"/>
              <w:right w:w="105" w:type="dxa"/>
            </w:tcMar>
            <w:vAlign w:val="center"/>
          </w:tcPr>
          <w:p>
            <w:pPr>
              <w:keepNext w:val="0"/>
              <w:keepLines w:val="0"/>
              <w:widowControl/>
              <w:suppressLineNumbers w:val="0"/>
              <w:spacing w:before="0" w:beforeAutospacing="0" w:after="0" w:afterAutospacing="0"/>
              <w:ind w:left="0" w:right="0"/>
              <w:jc w:val="left"/>
              <w:rPr>
                <w:rFonts w:hint="default" w:ascii="宋体" w:hAnsi="宋体" w:cs="宋体"/>
                <w:color w:val="auto"/>
                <w:szCs w:val="21"/>
                <w:highlight w:val="none"/>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1243" w:hRule="atLeast"/>
          <w:tblCellSpacing w:w="15" w:type="dxa"/>
        </w:trPr>
        <w:tc>
          <w:tcPr>
            <w:tcW w:w="1378" w:type="dxa"/>
            <w:tcBorders>
              <w:top w:val="nil"/>
              <w:left w:val="nil"/>
              <w:bottom w:val="nil"/>
              <w:right w:val="nil"/>
            </w:tcBorders>
            <w:tcMar>
              <w:top w:w="0" w:type="dxa"/>
              <w:left w:w="105" w:type="dxa"/>
              <w:bottom w:w="0" w:type="dxa"/>
              <w:right w:w="105" w:type="dxa"/>
            </w:tcMar>
            <w:vAlign w:val="center"/>
          </w:tcPr>
          <w:p>
            <w:pPr>
              <w:pStyle w:val="12"/>
              <w:keepNext w:val="0"/>
              <w:keepLines w:val="0"/>
              <w:widowControl/>
              <w:suppressLineNumbers w:val="0"/>
              <w:spacing w:before="0" w:beforeAutospacing="0" w:after="0" w:afterAutospacing="0"/>
              <w:ind w:left="0" w:right="0"/>
              <w:jc w:val="center"/>
              <w:rPr>
                <w:rFonts w:hint="default" w:ascii="宋体" w:hAnsi="宋体" w:cs="宋体"/>
                <w:color w:val="auto"/>
                <w:sz w:val="21"/>
                <w:szCs w:val="21"/>
                <w:highlight w:val="none"/>
              </w:rPr>
            </w:pPr>
            <w:r>
              <w:rPr>
                <w:rFonts w:hint="eastAsia" w:ascii="宋体" w:hAnsi="宋体" w:cs="宋体"/>
                <w:color w:val="auto"/>
                <w:sz w:val="21"/>
                <w:szCs w:val="21"/>
                <w:highlight w:val="none"/>
              </w:rPr>
              <w:t>备注</w:t>
            </w:r>
          </w:p>
        </w:tc>
        <w:tc>
          <w:tcPr>
            <w:tcW w:w="8512" w:type="dxa"/>
            <w:gridSpan w:val="6"/>
            <w:tcBorders>
              <w:top w:val="nil"/>
              <w:left w:val="nil"/>
              <w:bottom w:val="nil"/>
              <w:right w:val="nil"/>
            </w:tcBorders>
            <w:tcMar>
              <w:top w:w="0" w:type="dxa"/>
              <w:left w:w="105" w:type="dxa"/>
              <w:bottom w:w="0" w:type="dxa"/>
              <w:right w:w="105" w:type="dxa"/>
            </w:tcMar>
          </w:tcPr>
          <w:p>
            <w:pPr>
              <w:pStyle w:val="12"/>
              <w:keepNext w:val="0"/>
              <w:keepLines w:val="0"/>
              <w:widowControl/>
              <w:suppressLineNumbers w:val="0"/>
              <w:spacing w:before="0" w:beforeAutospacing="0" w:after="0" w:afterAutospacing="0"/>
              <w:ind w:left="0" w:right="0"/>
              <w:rPr>
                <w:rFonts w:hint="default" w:ascii="宋体" w:hAnsi="宋体" w:cs="宋体"/>
                <w:color w:val="auto"/>
                <w:sz w:val="21"/>
                <w:szCs w:val="21"/>
                <w:highlight w:val="none"/>
              </w:rPr>
            </w:pPr>
            <w:r>
              <w:rPr>
                <w:rFonts w:hint="eastAsia" w:ascii="宋体" w:hAnsi="宋体" w:cs="宋体"/>
                <w:color w:val="auto"/>
                <w:sz w:val="21"/>
                <w:szCs w:val="21"/>
                <w:highlight w:val="none"/>
              </w:rPr>
              <w:t>a.本采购包内属于节能、环境标志产品的合计最后报价总金额：      ；</w:t>
            </w:r>
          </w:p>
          <w:p>
            <w:pPr>
              <w:pStyle w:val="12"/>
              <w:keepNext w:val="0"/>
              <w:keepLines w:val="0"/>
              <w:widowControl/>
              <w:suppressLineNumbers w:val="0"/>
              <w:spacing w:before="0" w:beforeAutospacing="0" w:after="0" w:afterAutospacing="0"/>
              <w:ind w:left="0" w:right="0"/>
              <w:rPr>
                <w:rFonts w:hint="default" w:ascii="宋体" w:hAnsi="宋体" w:cs="宋体"/>
                <w:color w:val="auto"/>
                <w:sz w:val="21"/>
                <w:szCs w:val="21"/>
                <w:highlight w:val="none"/>
              </w:rPr>
            </w:pPr>
            <w:r>
              <w:rPr>
                <w:rFonts w:hint="eastAsia" w:ascii="宋体" w:hAnsi="宋体" w:cs="宋体"/>
                <w:color w:val="auto"/>
                <w:sz w:val="21"/>
                <w:szCs w:val="21"/>
                <w:highlight w:val="none"/>
              </w:rPr>
              <w:t>b.本采购包最后报价总价：</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w:t>
            </w:r>
          </w:p>
          <w:p>
            <w:pPr>
              <w:pStyle w:val="12"/>
              <w:keepNext w:val="0"/>
              <w:keepLines w:val="0"/>
              <w:widowControl/>
              <w:suppressLineNumbers w:val="0"/>
              <w:spacing w:before="0" w:beforeAutospacing="0" w:after="0" w:afterAutospacing="0"/>
              <w:ind w:left="0" w:right="0"/>
              <w:rPr>
                <w:rFonts w:hint="default" w:ascii="宋体" w:hAnsi="宋体" w:cs="宋体"/>
                <w:color w:val="auto"/>
                <w:sz w:val="21"/>
                <w:szCs w:val="21"/>
                <w:highlight w:val="none"/>
              </w:rPr>
            </w:pPr>
            <w:r>
              <w:rPr>
                <w:rFonts w:hint="eastAsia" w:ascii="宋体" w:hAnsi="宋体" w:cs="宋体"/>
                <w:color w:val="auto"/>
                <w:sz w:val="21"/>
                <w:szCs w:val="21"/>
                <w:highlight w:val="none"/>
              </w:rPr>
              <w:t>c.本采购包内属于节能、环境标志产品的合计最后报价总金额占本采购包最后报价总价的比例（以%列示）：</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w:t>
            </w:r>
          </w:p>
        </w:tc>
      </w:tr>
    </w:tbl>
    <w:p>
      <w:pPr>
        <w:pStyle w:val="12"/>
        <w:widowControl/>
        <w:spacing w:before="75" w:beforeAutospacing="0" w:after="75" w:afterAutospacing="0" w:line="360" w:lineRule="atLeast"/>
        <w:rPr>
          <w:rFonts w:ascii="宋体" w:hAnsi="宋体" w:cs="宋体"/>
          <w:color w:val="auto"/>
          <w:sz w:val="21"/>
          <w:szCs w:val="21"/>
          <w:highlight w:val="none"/>
        </w:rPr>
      </w:pPr>
      <w:r>
        <w:rPr>
          <w:rFonts w:hint="eastAsia" w:ascii="宋体" w:hAnsi="宋体" w:cs="宋体"/>
          <w:color w:val="auto"/>
          <w:sz w:val="21"/>
          <w:szCs w:val="21"/>
          <w:highlight w:val="none"/>
        </w:rPr>
        <w:t>※注意：</w:t>
      </w:r>
    </w:p>
    <w:p>
      <w:pPr>
        <w:pStyle w:val="12"/>
        <w:widowControl/>
        <w:spacing w:before="75" w:beforeAutospacing="0" w:after="75" w:afterAutospacing="0" w:line="360" w:lineRule="atLeast"/>
        <w:rPr>
          <w:rFonts w:ascii="宋体" w:hAnsi="宋体" w:cs="宋体"/>
          <w:color w:val="auto"/>
          <w:sz w:val="21"/>
          <w:szCs w:val="21"/>
          <w:highlight w:val="none"/>
        </w:rPr>
      </w:pPr>
      <w:r>
        <w:rPr>
          <w:rFonts w:hint="eastAsia" w:ascii="宋体" w:hAnsi="宋体" w:cs="宋体"/>
          <w:color w:val="auto"/>
          <w:sz w:val="21"/>
          <w:szCs w:val="21"/>
          <w:highlight w:val="none"/>
        </w:rPr>
        <w:t>1.对“节能、环境标志产品”计算价格扣除时，只依据响应文件提交的依据国家确定的认证机构出具的、处于有效期之内的节能产品、环境标志产品认证证书复印件。未按要求提供证明资料，不享受价格扣除的优惠政策。</w:t>
      </w:r>
    </w:p>
    <w:p>
      <w:pPr>
        <w:pStyle w:val="12"/>
        <w:widowControl/>
        <w:spacing w:before="75" w:beforeAutospacing="0" w:after="75" w:afterAutospacing="0" w:line="360" w:lineRule="atLeast"/>
        <w:rPr>
          <w:rFonts w:ascii="宋体" w:hAnsi="宋体" w:cs="宋体"/>
          <w:color w:val="auto"/>
          <w:sz w:val="21"/>
          <w:szCs w:val="21"/>
          <w:highlight w:val="none"/>
        </w:rPr>
      </w:pPr>
      <w:r>
        <w:rPr>
          <w:rFonts w:hint="eastAsia" w:ascii="宋体" w:hAnsi="宋体" w:cs="宋体"/>
          <w:color w:val="auto"/>
          <w:sz w:val="21"/>
          <w:szCs w:val="21"/>
          <w:highlight w:val="none"/>
        </w:rPr>
        <w:t>2、具体统计、计算：</w:t>
      </w:r>
    </w:p>
    <w:p>
      <w:pPr>
        <w:pStyle w:val="12"/>
        <w:widowControl/>
        <w:spacing w:before="75" w:beforeAutospacing="0" w:after="75" w:afterAutospacing="0" w:line="360" w:lineRule="atLeast"/>
        <w:rPr>
          <w:rFonts w:ascii="宋体" w:hAnsi="宋体" w:cs="宋体"/>
          <w:color w:val="auto"/>
          <w:sz w:val="21"/>
          <w:szCs w:val="21"/>
          <w:highlight w:val="none"/>
        </w:rPr>
      </w:pPr>
      <w:r>
        <w:rPr>
          <w:rFonts w:hint="eastAsia" w:ascii="宋体" w:hAnsi="宋体" w:cs="宋体"/>
          <w:color w:val="auto"/>
          <w:sz w:val="21"/>
          <w:szCs w:val="21"/>
          <w:highlight w:val="none"/>
        </w:rPr>
        <w:t>2.1若同一采购包内的单个或多个货物取得或同时取得节能、环境标志产品等两项或多项认证的，均按照单个货物对应一项认证的原则统计、计算1次。</w:t>
      </w:r>
    </w:p>
    <w:p>
      <w:pPr>
        <w:pStyle w:val="12"/>
        <w:widowControl/>
        <w:spacing w:before="75" w:beforeAutospacing="0" w:after="75" w:afterAutospacing="0" w:line="360" w:lineRule="atLeast"/>
        <w:rPr>
          <w:rFonts w:ascii="宋体" w:hAnsi="宋体" w:cs="宋体"/>
          <w:color w:val="auto"/>
          <w:sz w:val="21"/>
          <w:szCs w:val="21"/>
          <w:highlight w:val="none"/>
        </w:rPr>
      </w:pPr>
      <w:r>
        <w:rPr>
          <w:rFonts w:hint="eastAsia" w:ascii="宋体" w:hAnsi="宋体" w:cs="宋体"/>
          <w:color w:val="auto"/>
          <w:sz w:val="21"/>
          <w:szCs w:val="21"/>
          <w:highlight w:val="none"/>
        </w:rPr>
        <w:t>2.2计算结果若除不尽，可四舍五入保留到小数点后两位。</w:t>
      </w:r>
    </w:p>
    <w:p>
      <w:pPr>
        <w:pStyle w:val="12"/>
        <w:widowControl/>
        <w:spacing w:before="75" w:beforeAutospacing="0" w:after="75" w:afterAutospacing="0" w:line="360" w:lineRule="atLeast"/>
        <w:rPr>
          <w:rFonts w:ascii="宋体" w:hAnsi="宋体" w:cs="宋体"/>
          <w:color w:val="auto"/>
          <w:sz w:val="21"/>
          <w:szCs w:val="21"/>
          <w:highlight w:val="none"/>
        </w:rPr>
      </w:pPr>
      <w:r>
        <w:rPr>
          <w:rFonts w:hint="eastAsia" w:ascii="宋体" w:hAnsi="宋体" w:cs="宋体"/>
          <w:color w:val="auto"/>
          <w:sz w:val="21"/>
          <w:szCs w:val="21"/>
          <w:highlight w:val="none"/>
        </w:rPr>
        <w:t>2.3供应商应按照磋商文件上表要求认真统计、计算，否则磋商小组可不予认定。</w:t>
      </w:r>
    </w:p>
    <w:p>
      <w:pPr>
        <w:pStyle w:val="12"/>
        <w:widowControl/>
        <w:spacing w:before="75" w:beforeAutospacing="0" w:after="75" w:afterAutospacing="0" w:line="360" w:lineRule="atLeast"/>
        <w:rPr>
          <w:rFonts w:ascii="宋体" w:hAnsi="宋体" w:cs="宋体"/>
          <w:color w:val="auto"/>
          <w:sz w:val="21"/>
          <w:szCs w:val="21"/>
          <w:highlight w:val="none"/>
        </w:rPr>
      </w:pPr>
      <w:r>
        <w:rPr>
          <w:rFonts w:hint="eastAsia" w:ascii="宋体" w:hAnsi="宋体" w:cs="宋体"/>
          <w:color w:val="auto"/>
          <w:sz w:val="21"/>
          <w:szCs w:val="21"/>
          <w:highlight w:val="none"/>
        </w:rPr>
        <w:t>2.4若无节能、环境标志产品，不填写本表，否则，视为提供虚假材料。</w:t>
      </w:r>
    </w:p>
    <w:p>
      <w:pPr>
        <w:pStyle w:val="12"/>
        <w:widowControl/>
        <w:spacing w:before="75" w:beforeAutospacing="0" w:after="75" w:afterAutospacing="0" w:line="360" w:lineRule="atLeast"/>
        <w:rPr>
          <w:rFonts w:ascii="宋体" w:hAnsi="宋体" w:cs="宋体"/>
          <w:color w:val="auto"/>
          <w:sz w:val="21"/>
          <w:szCs w:val="21"/>
          <w:highlight w:val="none"/>
        </w:rPr>
      </w:pPr>
      <w:r>
        <w:rPr>
          <w:rFonts w:hint="eastAsia" w:ascii="宋体" w:hAnsi="宋体" w:cs="宋体"/>
          <w:color w:val="auto"/>
          <w:sz w:val="21"/>
          <w:szCs w:val="21"/>
          <w:highlight w:val="none"/>
        </w:rPr>
        <w:t>2.5强制类节能产品不享受价格扣除。</w:t>
      </w:r>
    </w:p>
    <w:p>
      <w:pPr>
        <w:pStyle w:val="12"/>
        <w:widowControl/>
        <w:spacing w:before="75" w:beforeAutospacing="0" w:after="75" w:afterAutospacing="0" w:line="360" w:lineRule="atLeast"/>
        <w:rPr>
          <w:rFonts w:ascii="宋体" w:hAnsi="宋体" w:cs="宋体"/>
          <w:color w:val="auto"/>
          <w:sz w:val="21"/>
          <w:szCs w:val="21"/>
          <w:highlight w:val="none"/>
        </w:rPr>
      </w:pPr>
      <w:r>
        <w:rPr>
          <w:rFonts w:hint="eastAsia" w:ascii="宋体" w:hAnsi="宋体" w:cs="宋体"/>
          <w:color w:val="auto"/>
          <w:sz w:val="21"/>
          <w:szCs w:val="21"/>
          <w:highlight w:val="none"/>
        </w:rPr>
        <w:t>3、本表以采购包为单位，不同采购包请分别填写；同一采购包请按照顺序分别填写，以方便磋商小组审阅。供应商在提交最后报价时，如果没有同时向磋商小组提交上表内容并附相应证明资料，视同为供应商的产品不属于节能、环境标志产品，不享受价格扣除的优惠政策。</w:t>
      </w:r>
    </w:p>
    <w:p>
      <w:pPr>
        <w:pStyle w:val="12"/>
        <w:widowControl/>
        <w:spacing w:before="75" w:beforeAutospacing="0" w:after="75" w:afterAutospacing="0" w:line="360" w:lineRule="atLeast"/>
        <w:rPr>
          <w:rFonts w:ascii="宋体" w:hAnsi="宋体" w:cs="宋体"/>
          <w:color w:val="auto"/>
          <w:sz w:val="21"/>
          <w:szCs w:val="21"/>
          <w:highlight w:val="none"/>
        </w:rPr>
      </w:pPr>
      <w:r>
        <w:rPr>
          <w:rFonts w:hint="eastAsia" w:ascii="宋体" w:hAnsi="宋体" w:cs="宋体"/>
          <w:color w:val="auto"/>
          <w:sz w:val="21"/>
          <w:szCs w:val="21"/>
          <w:highlight w:val="none"/>
        </w:rPr>
        <w:t>4、纸质响应文件正本中的本表（若有）应为原件。</w:t>
      </w:r>
    </w:p>
    <w:p>
      <w:pPr>
        <w:pStyle w:val="12"/>
        <w:widowControl/>
        <w:spacing w:before="75" w:beforeAutospacing="0" w:after="75" w:afterAutospacing="0" w:line="420" w:lineRule="atLeast"/>
        <w:rPr>
          <w:rFonts w:ascii="宋体" w:hAnsi="宋体" w:cs="宋体"/>
          <w:color w:val="auto"/>
          <w:sz w:val="21"/>
          <w:szCs w:val="21"/>
          <w:highlight w:val="none"/>
        </w:rPr>
      </w:pPr>
      <w:r>
        <w:rPr>
          <w:rFonts w:hint="eastAsia" w:ascii="宋体" w:hAnsi="宋体" w:cs="宋体"/>
          <w:color w:val="auto"/>
          <w:sz w:val="21"/>
          <w:szCs w:val="21"/>
          <w:highlight w:val="none"/>
        </w:rPr>
        <w:t>供应商代表：</w:t>
      </w:r>
      <w:r>
        <w:rPr>
          <w:rFonts w:hint="eastAsia" w:ascii="宋体" w:hAnsi="宋体" w:cs="宋体"/>
          <w:color w:val="auto"/>
          <w:sz w:val="21"/>
          <w:szCs w:val="21"/>
          <w:highlight w:val="none"/>
          <w:u w:val="single"/>
        </w:rPr>
        <w:t>             （签字） </w:t>
      </w:r>
    </w:p>
    <w:p>
      <w:pPr>
        <w:pStyle w:val="12"/>
        <w:widowControl/>
        <w:spacing w:before="75" w:beforeAutospacing="0" w:after="75" w:afterAutospacing="0" w:line="435" w:lineRule="atLeast"/>
        <w:rPr>
          <w:rFonts w:ascii="宋体" w:hAnsi="宋体" w:cs="宋体"/>
          <w:color w:val="auto"/>
          <w:sz w:val="21"/>
          <w:szCs w:val="21"/>
          <w:highlight w:val="none"/>
        </w:rPr>
      </w:pPr>
      <w:r>
        <w:rPr>
          <w:rFonts w:hint="eastAsia" w:ascii="宋体" w:hAnsi="宋体" w:cs="宋体"/>
          <w:color w:val="auto"/>
          <w:sz w:val="21"/>
          <w:szCs w:val="21"/>
          <w:highlight w:val="none"/>
        </w:rPr>
        <w:t>日  期： </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年 </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月 </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日 </w:t>
      </w:r>
    </w:p>
    <w:p>
      <w:pPr>
        <w:pStyle w:val="12"/>
        <w:widowControl/>
        <w:spacing w:before="75" w:beforeAutospacing="0" w:after="75" w:afterAutospacing="0"/>
        <w:rPr>
          <w:rFonts w:ascii="宋体" w:hAnsi="宋体" w:cs="宋体"/>
          <w:color w:val="auto"/>
          <w:sz w:val="21"/>
          <w:szCs w:val="21"/>
          <w:highlight w:val="none"/>
        </w:rPr>
      </w:pPr>
      <w:r>
        <w:rPr>
          <w:rFonts w:hint="eastAsia" w:ascii="宋体" w:hAnsi="宋体" w:cs="宋体"/>
          <w:color w:val="auto"/>
          <w:sz w:val="21"/>
          <w:szCs w:val="21"/>
          <w:highlight w:val="none"/>
        </w:rPr>
        <w:t> </w:t>
      </w:r>
    </w:p>
    <w:p>
      <w:pPr>
        <w:pStyle w:val="12"/>
        <w:widowControl/>
        <w:spacing w:before="75" w:beforeAutospacing="0" w:after="75" w:afterAutospacing="0"/>
        <w:rPr>
          <w:rFonts w:ascii="宋体" w:hAnsi="宋体" w:cs="宋体"/>
          <w:color w:val="auto"/>
          <w:sz w:val="21"/>
          <w:szCs w:val="21"/>
          <w:highlight w:val="none"/>
        </w:rPr>
      </w:pPr>
    </w:p>
    <w:p>
      <w:pPr>
        <w:pStyle w:val="12"/>
        <w:widowControl/>
        <w:spacing w:before="75" w:beforeAutospacing="0" w:after="75" w:afterAutospacing="0"/>
        <w:rPr>
          <w:rFonts w:ascii="宋体" w:hAnsi="宋体" w:cs="宋体"/>
          <w:color w:val="auto"/>
          <w:sz w:val="21"/>
          <w:szCs w:val="21"/>
          <w:highlight w:val="none"/>
        </w:rPr>
      </w:pPr>
    </w:p>
    <w:p>
      <w:pPr>
        <w:pStyle w:val="12"/>
        <w:widowControl/>
        <w:spacing w:before="75" w:beforeAutospacing="0" w:after="75" w:afterAutospacing="0"/>
        <w:jc w:val="center"/>
        <w:rPr>
          <w:rFonts w:ascii="宋体" w:hAnsi="宋体" w:cs="宋体"/>
          <w:color w:val="auto"/>
          <w:sz w:val="21"/>
          <w:szCs w:val="21"/>
          <w:highlight w:val="none"/>
        </w:rPr>
      </w:pPr>
      <w:r>
        <w:rPr>
          <w:rFonts w:hint="eastAsia" w:ascii="宋体" w:hAnsi="宋体" w:cs="宋体"/>
          <w:color w:val="auto"/>
          <w:sz w:val="21"/>
          <w:szCs w:val="21"/>
          <w:highlight w:val="none"/>
        </w:rPr>
        <w:br w:type="page"/>
      </w:r>
      <w:r>
        <w:rPr>
          <w:rFonts w:hint="eastAsia" w:ascii="宋体" w:hAnsi="宋体" w:cs="宋体"/>
          <w:b/>
          <w:bCs/>
          <w:color w:val="auto"/>
          <w:sz w:val="21"/>
          <w:szCs w:val="21"/>
          <w:highlight w:val="none"/>
        </w:rPr>
        <w:t>附件8   </w:t>
      </w:r>
      <w:r>
        <w:rPr>
          <w:rStyle w:val="18"/>
          <w:rFonts w:hint="eastAsia" w:ascii="宋体" w:hAnsi="宋体" w:cs="宋体"/>
          <w:bCs/>
          <w:color w:val="auto"/>
          <w:sz w:val="21"/>
          <w:szCs w:val="21"/>
          <w:highlight w:val="none"/>
        </w:rPr>
        <w:t>要求作为响应文件组成部分的其他内容（若有）</w:t>
      </w:r>
    </w:p>
    <w:p>
      <w:pPr>
        <w:pStyle w:val="12"/>
        <w:widowControl/>
        <w:spacing w:before="75" w:beforeAutospacing="0" w:after="75" w:afterAutospacing="0"/>
        <w:rPr>
          <w:rFonts w:ascii="宋体" w:hAnsi="宋体" w:cs="宋体"/>
          <w:color w:val="auto"/>
          <w:sz w:val="21"/>
          <w:szCs w:val="21"/>
          <w:highlight w:val="none"/>
        </w:rPr>
      </w:pPr>
      <w:r>
        <w:rPr>
          <w:rFonts w:hint="eastAsia" w:ascii="宋体" w:hAnsi="宋体" w:cs="宋体"/>
          <w:color w:val="auto"/>
          <w:sz w:val="21"/>
          <w:szCs w:val="21"/>
          <w:highlight w:val="none"/>
        </w:rPr>
        <w:t> </w:t>
      </w:r>
    </w:p>
    <w:p>
      <w:pPr>
        <w:pStyle w:val="12"/>
        <w:widowControl/>
        <w:spacing w:before="75" w:beforeAutospacing="0" w:after="75" w:afterAutospacing="0" w:line="435" w:lineRule="atLeast"/>
        <w:rPr>
          <w:rFonts w:ascii="宋体" w:hAnsi="宋体" w:cs="宋体"/>
          <w:color w:val="auto"/>
          <w:sz w:val="21"/>
          <w:szCs w:val="21"/>
          <w:highlight w:val="none"/>
        </w:rPr>
      </w:pPr>
      <w:r>
        <w:rPr>
          <w:rFonts w:hint="eastAsia" w:ascii="宋体" w:hAnsi="宋体" w:cs="宋体"/>
          <w:color w:val="auto"/>
          <w:sz w:val="21"/>
          <w:szCs w:val="21"/>
          <w:highlight w:val="none"/>
        </w:rPr>
        <w:t>说明：</w:t>
      </w:r>
    </w:p>
    <w:p>
      <w:pPr>
        <w:pStyle w:val="12"/>
        <w:widowControl/>
        <w:spacing w:before="75" w:beforeAutospacing="0" w:after="75" w:afterAutospacing="0" w:line="435" w:lineRule="atLeast"/>
        <w:ind w:firstLine="480"/>
        <w:rPr>
          <w:rFonts w:ascii="宋体" w:hAnsi="宋体" w:cs="宋体"/>
          <w:color w:val="auto"/>
          <w:sz w:val="21"/>
          <w:szCs w:val="21"/>
          <w:highlight w:val="none"/>
        </w:rPr>
      </w:pPr>
      <w:r>
        <w:rPr>
          <w:rFonts w:hint="eastAsia" w:ascii="宋体" w:hAnsi="宋体" w:cs="宋体"/>
          <w:color w:val="auto"/>
          <w:sz w:val="21"/>
          <w:szCs w:val="21"/>
          <w:highlight w:val="none"/>
        </w:rPr>
        <w:t>1、供应商根据自身实际情况编写有关资料包括如供应商单位简介、竞争性磋商文件要求提供或供应商自已认为体现自身优势，需要补充说明的其它资料，格式自拟。</w:t>
      </w:r>
    </w:p>
    <w:p>
      <w:pPr>
        <w:pStyle w:val="12"/>
        <w:widowControl/>
        <w:spacing w:before="75" w:beforeAutospacing="0" w:after="75" w:afterAutospacing="0" w:line="435" w:lineRule="atLeast"/>
        <w:jc w:val="both"/>
        <w:rPr>
          <w:rFonts w:ascii="宋体" w:hAnsi="宋体" w:cs="宋体"/>
          <w:color w:val="auto"/>
          <w:sz w:val="21"/>
          <w:szCs w:val="21"/>
          <w:highlight w:val="none"/>
        </w:rPr>
      </w:pPr>
    </w:p>
    <w:p>
      <w:pPr>
        <w:pStyle w:val="12"/>
        <w:widowControl/>
        <w:spacing w:before="75" w:beforeAutospacing="0" w:after="75" w:afterAutospacing="0" w:line="435" w:lineRule="atLeast"/>
        <w:jc w:val="both"/>
        <w:rPr>
          <w:rFonts w:ascii="宋体" w:hAnsi="宋体" w:cs="宋体"/>
          <w:color w:val="auto"/>
          <w:sz w:val="21"/>
          <w:szCs w:val="21"/>
          <w:highlight w:val="none"/>
        </w:rPr>
      </w:pPr>
    </w:p>
    <w:p>
      <w:pPr>
        <w:pStyle w:val="12"/>
        <w:widowControl/>
        <w:spacing w:before="75" w:beforeAutospacing="0" w:after="75" w:afterAutospacing="0" w:line="435" w:lineRule="atLeast"/>
        <w:jc w:val="both"/>
        <w:rPr>
          <w:rFonts w:ascii="宋体" w:hAnsi="宋体" w:cs="宋体"/>
          <w:color w:val="auto"/>
          <w:sz w:val="21"/>
          <w:szCs w:val="21"/>
          <w:highlight w:val="none"/>
        </w:rPr>
      </w:pPr>
      <w:r>
        <w:rPr>
          <w:rFonts w:hint="eastAsia" w:ascii="宋体" w:hAnsi="宋体" w:cs="宋体"/>
          <w:color w:val="auto"/>
          <w:sz w:val="21"/>
          <w:szCs w:val="21"/>
          <w:highlight w:val="none"/>
        </w:rPr>
        <w:t>供应商代表：</w:t>
      </w:r>
      <w:r>
        <w:rPr>
          <w:rFonts w:hint="eastAsia" w:ascii="宋体" w:hAnsi="宋体" w:cs="宋体"/>
          <w:color w:val="auto"/>
          <w:sz w:val="21"/>
          <w:szCs w:val="21"/>
          <w:highlight w:val="none"/>
          <w:u w:val="single"/>
        </w:rPr>
        <w:t>             （签字） </w:t>
      </w:r>
    </w:p>
    <w:p>
      <w:pPr>
        <w:pStyle w:val="12"/>
        <w:widowControl/>
        <w:spacing w:before="75" w:beforeAutospacing="0" w:after="75" w:afterAutospacing="0" w:line="435" w:lineRule="atLeast"/>
        <w:jc w:val="both"/>
        <w:rPr>
          <w:rFonts w:ascii="宋体" w:hAnsi="宋体" w:cs="宋体"/>
          <w:color w:val="auto"/>
          <w:sz w:val="21"/>
          <w:szCs w:val="21"/>
          <w:highlight w:val="none"/>
        </w:rPr>
      </w:pPr>
      <w:r>
        <w:rPr>
          <w:rFonts w:hint="eastAsia" w:ascii="宋体" w:hAnsi="宋体" w:cs="宋体"/>
          <w:color w:val="auto"/>
          <w:sz w:val="21"/>
          <w:szCs w:val="21"/>
          <w:highlight w:val="none"/>
        </w:rPr>
        <w:t>供应商名称：</w:t>
      </w:r>
      <w:r>
        <w:rPr>
          <w:rFonts w:hint="eastAsia" w:ascii="宋体" w:hAnsi="宋体" w:cs="宋体"/>
          <w:color w:val="auto"/>
          <w:sz w:val="21"/>
          <w:szCs w:val="21"/>
          <w:highlight w:val="none"/>
          <w:u w:val="single"/>
        </w:rPr>
        <w:t>         （全称并加盖公章）              </w:t>
      </w:r>
    </w:p>
    <w:p>
      <w:pPr>
        <w:pStyle w:val="12"/>
        <w:widowControl/>
        <w:spacing w:before="75" w:beforeAutospacing="0" w:after="75" w:afterAutospacing="0" w:line="435" w:lineRule="atLeast"/>
        <w:rPr>
          <w:rFonts w:ascii="宋体" w:hAnsi="宋体" w:cs="宋体"/>
          <w:color w:val="auto"/>
          <w:sz w:val="21"/>
          <w:szCs w:val="21"/>
          <w:highlight w:val="none"/>
        </w:rPr>
      </w:pPr>
      <w:r>
        <w:rPr>
          <w:rFonts w:hint="eastAsia" w:ascii="宋体" w:hAnsi="宋体" w:cs="宋体"/>
          <w:color w:val="auto"/>
          <w:sz w:val="21"/>
          <w:szCs w:val="21"/>
          <w:highlight w:val="none"/>
        </w:rPr>
        <w:t>日  期： </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年 </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月 </w:t>
      </w:r>
      <w:r>
        <w:rPr>
          <w:rFonts w:hint="eastAsia" w:ascii="宋体" w:hAnsi="宋体" w:cs="宋体"/>
          <w:color w:val="auto"/>
          <w:sz w:val="21"/>
          <w:szCs w:val="21"/>
          <w:highlight w:val="none"/>
          <w:u w:val="single"/>
        </w:rPr>
        <w:t>   </w:t>
      </w:r>
      <w:r>
        <w:rPr>
          <w:rFonts w:hint="eastAsia" w:ascii="宋体" w:hAnsi="宋体" w:cs="宋体"/>
          <w:color w:val="auto"/>
          <w:sz w:val="21"/>
          <w:szCs w:val="21"/>
          <w:highlight w:val="none"/>
        </w:rPr>
        <w:t>日</w:t>
      </w:r>
    </w:p>
    <w:p>
      <w:pPr>
        <w:pStyle w:val="12"/>
        <w:widowControl/>
        <w:spacing w:before="75" w:beforeAutospacing="0" w:after="75" w:afterAutospacing="0"/>
        <w:rPr>
          <w:rFonts w:ascii="宋体" w:hAnsi="宋体" w:cs="宋体"/>
          <w:color w:val="auto"/>
          <w:sz w:val="21"/>
          <w:szCs w:val="21"/>
          <w:highlight w:val="none"/>
        </w:rPr>
      </w:pPr>
      <w:r>
        <w:rPr>
          <w:rFonts w:hint="eastAsia" w:ascii="宋体" w:hAnsi="宋体" w:cs="宋体"/>
          <w:color w:val="auto"/>
          <w:sz w:val="21"/>
          <w:szCs w:val="21"/>
          <w:highlight w:val="none"/>
        </w:rPr>
        <w:t> </w:t>
      </w:r>
    </w:p>
    <w:p>
      <w:pPr>
        <w:pStyle w:val="12"/>
        <w:widowControl/>
        <w:spacing w:before="75" w:beforeAutospacing="0" w:after="75" w:afterAutospacing="0"/>
        <w:rPr>
          <w:rFonts w:ascii="宋体" w:hAnsi="宋体" w:cs="宋体"/>
          <w:color w:val="auto"/>
          <w:sz w:val="21"/>
          <w:szCs w:val="21"/>
          <w:highlight w:val="none"/>
        </w:rPr>
      </w:pPr>
      <w:r>
        <w:rPr>
          <w:rFonts w:hint="eastAsia" w:ascii="宋体" w:hAnsi="宋体" w:cs="宋体"/>
          <w:color w:val="auto"/>
          <w:sz w:val="21"/>
          <w:szCs w:val="21"/>
          <w:highlight w:val="none"/>
        </w:rPr>
        <w:t> </w:t>
      </w:r>
    </w:p>
    <w:p>
      <w:pPr>
        <w:pStyle w:val="12"/>
        <w:widowControl/>
        <w:spacing w:before="75" w:beforeAutospacing="0" w:after="75" w:afterAutospacing="0"/>
        <w:rPr>
          <w:rFonts w:ascii="宋体" w:hAnsi="宋体" w:cs="宋体"/>
          <w:color w:val="auto"/>
          <w:sz w:val="21"/>
          <w:szCs w:val="21"/>
          <w:highlight w:val="none"/>
        </w:rPr>
      </w:pPr>
      <w:r>
        <w:rPr>
          <w:rFonts w:hint="eastAsia" w:ascii="宋体" w:hAnsi="宋体" w:cs="宋体"/>
          <w:color w:val="auto"/>
          <w:sz w:val="21"/>
          <w:szCs w:val="21"/>
          <w:highlight w:val="none"/>
        </w:rPr>
        <w:t> </w:t>
      </w:r>
    </w:p>
    <w:p>
      <w:pPr>
        <w:pStyle w:val="12"/>
        <w:widowControl/>
        <w:spacing w:before="75" w:beforeAutospacing="0" w:after="75" w:afterAutospacing="0"/>
        <w:rPr>
          <w:rFonts w:ascii="宋体" w:hAnsi="宋体" w:cs="宋体"/>
          <w:color w:val="auto"/>
          <w:sz w:val="21"/>
          <w:szCs w:val="21"/>
          <w:highlight w:val="none"/>
        </w:rPr>
      </w:pPr>
      <w:r>
        <w:rPr>
          <w:rFonts w:hint="eastAsia" w:ascii="宋体" w:hAnsi="宋体" w:cs="宋体"/>
          <w:color w:val="auto"/>
          <w:sz w:val="21"/>
          <w:szCs w:val="21"/>
          <w:highlight w:val="none"/>
        </w:rPr>
        <w:t> </w:t>
      </w:r>
    </w:p>
    <w:p>
      <w:pPr>
        <w:pStyle w:val="12"/>
        <w:widowControl/>
        <w:spacing w:before="75" w:beforeAutospacing="0" w:after="75" w:afterAutospacing="0"/>
        <w:rPr>
          <w:rFonts w:ascii="宋体" w:hAnsi="宋体" w:cs="宋体"/>
          <w:color w:val="auto"/>
          <w:sz w:val="21"/>
          <w:szCs w:val="21"/>
          <w:highlight w:val="none"/>
        </w:rPr>
      </w:pPr>
      <w:r>
        <w:rPr>
          <w:rFonts w:hint="eastAsia" w:ascii="宋体" w:hAnsi="宋体" w:cs="宋体"/>
          <w:color w:val="auto"/>
          <w:sz w:val="21"/>
          <w:szCs w:val="21"/>
          <w:highlight w:val="none"/>
        </w:rPr>
        <w:t> </w:t>
      </w:r>
    </w:p>
    <w:p>
      <w:pPr>
        <w:pStyle w:val="12"/>
        <w:widowControl/>
        <w:spacing w:before="75" w:beforeAutospacing="0" w:after="75" w:afterAutospacing="0"/>
        <w:rPr>
          <w:rFonts w:ascii="宋体" w:hAnsi="宋体" w:cs="宋体"/>
          <w:color w:val="auto"/>
          <w:sz w:val="21"/>
          <w:szCs w:val="21"/>
          <w:highlight w:val="none"/>
        </w:rPr>
      </w:pPr>
      <w:r>
        <w:rPr>
          <w:rFonts w:hint="eastAsia" w:ascii="宋体" w:hAnsi="宋体" w:cs="宋体"/>
          <w:color w:val="auto"/>
          <w:sz w:val="21"/>
          <w:szCs w:val="21"/>
          <w:highlight w:val="none"/>
        </w:rPr>
        <w:t> </w:t>
      </w:r>
    </w:p>
    <w:p>
      <w:pPr>
        <w:pStyle w:val="12"/>
        <w:widowControl/>
        <w:spacing w:before="75" w:beforeAutospacing="0" w:after="75" w:afterAutospacing="0"/>
        <w:rPr>
          <w:rFonts w:ascii="宋体" w:hAnsi="宋体" w:cs="宋体"/>
          <w:color w:val="auto"/>
          <w:szCs w:val="21"/>
          <w:highlight w:val="none"/>
        </w:rPr>
      </w:pPr>
      <w:r>
        <w:rPr>
          <w:rFonts w:hint="eastAsia" w:ascii="宋体" w:hAnsi="宋体" w:cs="宋体"/>
          <w:color w:val="auto"/>
          <w:sz w:val="21"/>
          <w:szCs w:val="21"/>
          <w:highlight w:val="none"/>
        </w:rPr>
        <w:t> </w:t>
      </w:r>
    </w:p>
    <w:p>
      <w:pPr>
        <w:spacing w:line="360" w:lineRule="auto"/>
        <w:jc w:val="left"/>
        <w:rPr>
          <w:rFonts w:ascii="宋体" w:hAnsi="宋体" w:cs="宋体"/>
          <w:color w:val="auto"/>
          <w:szCs w:val="21"/>
          <w:highlight w:val="none"/>
        </w:rPr>
      </w:pPr>
    </w:p>
    <w:p>
      <w:pPr>
        <w:rPr>
          <w:rFonts w:ascii="宋体" w:hAnsi="宋体" w:cs="宋体"/>
          <w:color w:val="auto"/>
          <w:szCs w:val="21"/>
          <w:highlight w:val="none"/>
        </w:rPr>
      </w:pPr>
    </w:p>
    <w:sectPr>
      <w:footerReference r:id="rId3" w:type="default"/>
      <w:pgSz w:w="11906" w:h="16838"/>
      <w:pgMar w:top="1440" w:right="1080" w:bottom="1440" w:left="1080" w:header="851" w:footer="992" w:gutter="0"/>
      <w:pgNumType w:fmt="decimal"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经典中圆繁">
    <w:altName w:val="宋体"/>
    <w:panose1 w:val="00000000000000000000"/>
    <w:charset w:val="86"/>
    <w:family w:val="modern"/>
    <w:pitch w:val="default"/>
    <w:sig w:usb0="00000000" w:usb1="00000000" w:usb2="0000001E" w:usb3="00000000" w:csb0="00040000" w:csb1="00000000"/>
  </w:font>
  <w:font w:name="Cambria">
    <w:panose1 w:val="02040503050406030204"/>
    <w:charset w:val="00"/>
    <w:family w:val="roman"/>
    <w:pitch w:val="default"/>
    <w:sig w:usb0="E00006FF" w:usb1="420024FF" w:usb2="02000000" w:usb3="00000000" w:csb0="2000019F" w:csb1="00000000"/>
  </w:font>
  <w:font w:name="Segoe UI">
    <w:panose1 w:val="020B0502040204020203"/>
    <w:charset w:val="00"/>
    <w:family w:val="swiss"/>
    <w:pitch w:val="default"/>
    <w:sig w:usb0="E4002EFF" w:usb1="C000E47F"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8"/>
                            <w:rPr>
                              <w:rFonts w:eastAsia="仿宋_GB2312"/>
                            </w:rPr>
                          </w:pPr>
                          <w:r>
                            <w:rPr>
                              <w:rFonts w:eastAsia="仿宋_GB2312"/>
                            </w:rPr>
                            <w:t xml:space="preserve">第 </w:t>
                          </w:r>
                          <w:r>
                            <w:rPr>
                              <w:rFonts w:eastAsia="仿宋_GB2312"/>
                            </w:rPr>
                            <w:fldChar w:fldCharType="begin"/>
                          </w:r>
                          <w:r>
                            <w:rPr>
                              <w:rFonts w:eastAsia="仿宋_GB2312"/>
                            </w:rPr>
                            <w:instrText xml:space="preserve"> PAGE  \* MERGEFORMAT </w:instrText>
                          </w:r>
                          <w:r>
                            <w:rPr>
                              <w:rFonts w:eastAsia="仿宋_GB2312"/>
                            </w:rPr>
                            <w:fldChar w:fldCharType="separate"/>
                          </w:r>
                          <w:r>
                            <w:rPr>
                              <w:rFonts w:eastAsia="仿宋_GB2312"/>
                            </w:rPr>
                            <w:t>1</w:t>
                          </w:r>
                          <w:r>
                            <w:rPr>
                              <w:rFonts w:eastAsia="仿宋_GB2312"/>
                            </w:rPr>
                            <w:fldChar w:fldCharType="end"/>
                          </w:r>
                          <w:r>
                            <w:rPr>
                              <w:rFonts w:eastAsia="仿宋_GB2312"/>
                            </w:rPr>
                            <w:t xml:space="preserve"> 页 共 </w:t>
                          </w:r>
                          <w:r>
                            <w:rPr>
                              <w:rFonts w:eastAsia="仿宋_GB2312"/>
                            </w:rPr>
                            <w:fldChar w:fldCharType="begin"/>
                          </w:r>
                          <w:r>
                            <w:rPr>
                              <w:rFonts w:eastAsia="仿宋_GB2312"/>
                            </w:rPr>
                            <w:instrText xml:space="preserve"> NUMPAGES  \* MERGEFORMAT </w:instrText>
                          </w:r>
                          <w:r>
                            <w:rPr>
                              <w:rFonts w:eastAsia="仿宋_GB2312"/>
                            </w:rPr>
                            <w:fldChar w:fldCharType="separate"/>
                          </w:r>
                          <w:r>
                            <w:rPr>
                              <w:rFonts w:eastAsia="仿宋_GB2312"/>
                            </w:rPr>
                            <w:t>76</w:t>
                          </w:r>
                          <w:r>
                            <w:rPr>
                              <w:rFonts w:eastAsia="仿宋_GB2312"/>
                            </w:rPr>
                            <w:fldChar w:fldCharType="end"/>
                          </w:r>
                          <w:r>
                            <w:rPr>
                              <w:rFonts w:eastAsia="仿宋_GB2312"/>
                            </w:rPr>
                            <w:t xml:space="preserve"> 页</w:t>
                          </w:r>
                        </w:p>
                      </w:txbxContent>
                    </wps:txbx>
                    <wps:bodyPr wrap="none" lIns="0" tIns="0" rIns="0" bIns="0">
                      <a:spAutoFit/>
                    </wps:bodyPr>
                  </wps:wsp>
                </a:graphicData>
              </a:graphic>
            </wp:anchor>
          </w:drawing>
        </mc:Choice>
        <mc:Fallback>
          <w:pict>
            <v:shape id="文本框 1025"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">
              <v:fill on="f" focussize="0,0"/>
              <v:stroke on="f"/>
              <v:imagedata o:title=""/>
              <o:lock v:ext="edit" aspectratio="f"/>
              <v:textbox inset="0mm,0mm,0mm,0mm" style="mso-fit-shape-to-text:t;">
                <w:txbxContent>
                  <w:p>
                    <w:pPr>
                      <w:pStyle w:val="8"/>
                      <w:rPr>
                        <w:rFonts w:eastAsia="仿宋_GB2312"/>
                      </w:rPr>
                    </w:pPr>
                    <w:r>
                      <w:rPr>
                        <w:rFonts w:eastAsia="仿宋_GB2312"/>
                      </w:rPr>
                      <w:t xml:space="preserve">第 </w:t>
                    </w:r>
                    <w:r>
                      <w:rPr>
                        <w:rFonts w:eastAsia="仿宋_GB2312"/>
                      </w:rPr>
                      <w:fldChar w:fldCharType="begin"/>
                    </w:r>
                    <w:r>
                      <w:rPr>
                        <w:rFonts w:eastAsia="仿宋_GB2312"/>
                      </w:rPr>
                      <w:instrText xml:space="preserve"> PAGE  \* MERGEFORMAT </w:instrText>
                    </w:r>
                    <w:r>
                      <w:rPr>
                        <w:rFonts w:eastAsia="仿宋_GB2312"/>
                      </w:rPr>
                      <w:fldChar w:fldCharType="separate"/>
                    </w:r>
                    <w:r>
                      <w:rPr>
                        <w:rFonts w:eastAsia="仿宋_GB2312"/>
                      </w:rPr>
                      <w:t>1</w:t>
                    </w:r>
                    <w:r>
                      <w:rPr>
                        <w:rFonts w:eastAsia="仿宋_GB2312"/>
                      </w:rPr>
                      <w:fldChar w:fldCharType="end"/>
                    </w:r>
                    <w:r>
                      <w:rPr>
                        <w:rFonts w:eastAsia="仿宋_GB2312"/>
                      </w:rPr>
                      <w:t xml:space="preserve"> 页 共 </w:t>
                    </w:r>
                    <w:r>
                      <w:rPr>
                        <w:rFonts w:eastAsia="仿宋_GB2312"/>
                      </w:rPr>
                      <w:fldChar w:fldCharType="begin"/>
                    </w:r>
                    <w:r>
                      <w:rPr>
                        <w:rFonts w:eastAsia="仿宋_GB2312"/>
                      </w:rPr>
                      <w:instrText xml:space="preserve"> NUMPAGES  \* MERGEFORMAT </w:instrText>
                    </w:r>
                    <w:r>
                      <w:rPr>
                        <w:rFonts w:eastAsia="仿宋_GB2312"/>
                      </w:rPr>
                      <w:fldChar w:fldCharType="separate"/>
                    </w:r>
                    <w:r>
                      <w:rPr>
                        <w:rFonts w:eastAsia="仿宋_GB2312"/>
                      </w:rPr>
                      <w:t>76</w:t>
                    </w:r>
                    <w:r>
                      <w:rPr>
                        <w:rFonts w:eastAsia="仿宋_GB2312"/>
                      </w:rPr>
                      <w:fldChar w:fldCharType="end"/>
                    </w:r>
                    <w:r>
                      <w:rPr>
                        <w:rFonts w:eastAsia="仿宋_GB2312"/>
                      </w:rPr>
                      <w:t xml:space="preserve"> 页</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36DAF0F"/>
    <w:multiLevelType w:val="singleLevel"/>
    <w:tmpl w:val="936DAF0F"/>
    <w:lvl w:ilvl="0" w:tentative="0">
      <w:start w:val="12"/>
      <w:numFmt w:val="decimal"/>
      <w:lvlText w:val="%1."/>
      <w:lvlJc w:val="left"/>
      <w:pPr>
        <w:tabs>
          <w:tab w:val="left" w:pos="312"/>
        </w:tabs>
      </w:pPr>
    </w:lvl>
  </w:abstractNum>
  <w:abstractNum w:abstractNumId="1">
    <w:nsid w:val="B4F7ED8A"/>
    <w:multiLevelType w:val="singleLevel"/>
    <w:tmpl w:val="B4F7ED8A"/>
    <w:lvl w:ilvl="0" w:tentative="0">
      <w:start w:val="2"/>
      <w:numFmt w:val="chineseCounting"/>
      <w:suff w:val="nothing"/>
      <w:lvlText w:val="（%1）"/>
      <w:lvlJc w:val="left"/>
      <w:rPr>
        <w:rFonts w:hint="eastAsia"/>
      </w:rPr>
    </w:lvl>
  </w:abstractNum>
  <w:abstractNum w:abstractNumId="2">
    <w:nsid w:val="C75B8F06"/>
    <w:multiLevelType w:val="singleLevel"/>
    <w:tmpl w:val="C75B8F06"/>
    <w:lvl w:ilvl="0" w:tentative="0">
      <w:start w:val="1"/>
      <w:numFmt w:val="decimal"/>
      <w:lvlText w:val="%1."/>
      <w:lvlJc w:val="left"/>
      <w:pPr>
        <w:tabs>
          <w:tab w:val="left" w:pos="312"/>
        </w:tabs>
      </w:pPr>
    </w:lvl>
  </w:abstractNum>
  <w:abstractNum w:abstractNumId="3">
    <w:nsid w:val="E04E67C2"/>
    <w:multiLevelType w:val="singleLevel"/>
    <w:tmpl w:val="E04E67C2"/>
    <w:lvl w:ilvl="0" w:tentative="0">
      <w:start w:val="8"/>
      <w:numFmt w:val="decimal"/>
      <w:lvlText w:val="%1."/>
      <w:lvlJc w:val="left"/>
      <w:pPr>
        <w:tabs>
          <w:tab w:val="left" w:pos="312"/>
        </w:tabs>
      </w:pPr>
    </w:lvl>
  </w:abstractNum>
  <w:abstractNum w:abstractNumId="4">
    <w:nsid w:val="E7C09B1E"/>
    <w:multiLevelType w:val="singleLevel"/>
    <w:tmpl w:val="E7C09B1E"/>
    <w:lvl w:ilvl="0" w:tentative="0">
      <w:start w:val="1"/>
      <w:numFmt w:val="decimal"/>
      <w:lvlText w:val="%1."/>
      <w:lvlJc w:val="left"/>
      <w:pPr>
        <w:tabs>
          <w:tab w:val="left" w:pos="312"/>
        </w:tabs>
      </w:pPr>
    </w:lvl>
  </w:abstractNum>
  <w:abstractNum w:abstractNumId="5">
    <w:nsid w:val="E8EA9E67"/>
    <w:multiLevelType w:val="singleLevel"/>
    <w:tmpl w:val="E8EA9E67"/>
    <w:lvl w:ilvl="0" w:tentative="0">
      <w:start w:val="1"/>
      <w:numFmt w:val="decimal"/>
      <w:suff w:val="nothing"/>
      <w:lvlText w:val="（%1）"/>
      <w:lvlJc w:val="left"/>
    </w:lvl>
  </w:abstractNum>
  <w:abstractNum w:abstractNumId="6">
    <w:nsid w:val="EF1EE409"/>
    <w:multiLevelType w:val="singleLevel"/>
    <w:tmpl w:val="EF1EE409"/>
    <w:lvl w:ilvl="0" w:tentative="0">
      <w:start w:val="2"/>
      <w:numFmt w:val="chineseCounting"/>
      <w:suff w:val="nothing"/>
      <w:lvlText w:val="%1、"/>
      <w:lvlJc w:val="left"/>
      <w:rPr>
        <w:rFonts w:hint="eastAsia"/>
      </w:rPr>
    </w:lvl>
  </w:abstractNum>
  <w:abstractNum w:abstractNumId="7">
    <w:nsid w:val="1BACAAEA"/>
    <w:multiLevelType w:val="singleLevel"/>
    <w:tmpl w:val="1BACAAEA"/>
    <w:lvl w:ilvl="0" w:tentative="0">
      <w:start w:val="4"/>
      <w:numFmt w:val="decimal"/>
      <w:suff w:val="nothing"/>
      <w:lvlText w:val="%1、"/>
      <w:lvlJc w:val="left"/>
    </w:lvl>
  </w:abstractNum>
  <w:abstractNum w:abstractNumId="8">
    <w:nsid w:val="695F0E1B"/>
    <w:multiLevelType w:val="singleLevel"/>
    <w:tmpl w:val="695F0E1B"/>
    <w:lvl w:ilvl="0" w:tentative="0">
      <w:start w:val="1"/>
      <w:numFmt w:val="decimal"/>
      <w:suff w:val="nothing"/>
      <w:lvlText w:val="%1、"/>
      <w:lvlJc w:val="left"/>
    </w:lvl>
  </w:abstractNum>
  <w:num w:numId="1">
    <w:abstractNumId w:val="4"/>
  </w:num>
  <w:num w:numId="2">
    <w:abstractNumId w:val="3"/>
  </w:num>
  <w:num w:numId="3">
    <w:abstractNumId w:val="5"/>
  </w:num>
  <w:num w:numId="4">
    <w:abstractNumId w:val="8"/>
  </w:num>
  <w:num w:numId="5">
    <w:abstractNumId w:val="1"/>
  </w:num>
  <w:num w:numId="6">
    <w:abstractNumId w:val="0"/>
  </w:num>
  <w:num w:numId="7">
    <w:abstractNumId w:val="6"/>
  </w:num>
  <w:num w:numId="8">
    <w:abstractNumId w:val="7"/>
  </w:num>
  <w:num w:numId="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bordersDoNotSurroundHeader w:val="0"/>
  <w:bordersDoNotSurroundFooter w:val="0"/>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Y0OTk5ZWZlYjQ4MWNlNTFhZDg2MDAyNzNkZGIwZDIifQ=="/>
  </w:docVars>
  <w:rsids>
    <w:rsidRoot w:val="00E63C5C"/>
    <w:rsid w:val="00056C0C"/>
    <w:rsid w:val="001071B9"/>
    <w:rsid w:val="00111F48"/>
    <w:rsid w:val="001452AF"/>
    <w:rsid w:val="001613A6"/>
    <w:rsid w:val="002051DF"/>
    <w:rsid w:val="0052723A"/>
    <w:rsid w:val="00A45C42"/>
    <w:rsid w:val="00AD066B"/>
    <w:rsid w:val="00BD001A"/>
    <w:rsid w:val="00DA34FA"/>
    <w:rsid w:val="00E63C5C"/>
    <w:rsid w:val="03D2759B"/>
    <w:rsid w:val="0430534F"/>
    <w:rsid w:val="0464101E"/>
    <w:rsid w:val="05376E29"/>
    <w:rsid w:val="05781D61"/>
    <w:rsid w:val="05872BE8"/>
    <w:rsid w:val="05E31A1B"/>
    <w:rsid w:val="0617092A"/>
    <w:rsid w:val="06F4285B"/>
    <w:rsid w:val="070959FC"/>
    <w:rsid w:val="07260BBC"/>
    <w:rsid w:val="07FD2893"/>
    <w:rsid w:val="088D5F9D"/>
    <w:rsid w:val="08B245A0"/>
    <w:rsid w:val="091B3B7A"/>
    <w:rsid w:val="0A87461F"/>
    <w:rsid w:val="0AA53DE8"/>
    <w:rsid w:val="0AFF0877"/>
    <w:rsid w:val="0B03058F"/>
    <w:rsid w:val="0C30170C"/>
    <w:rsid w:val="0CF63E15"/>
    <w:rsid w:val="0D5E7FAB"/>
    <w:rsid w:val="0D8B46DA"/>
    <w:rsid w:val="0DD2557E"/>
    <w:rsid w:val="0EC06840"/>
    <w:rsid w:val="0F411C38"/>
    <w:rsid w:val="0FB811AA"/>
    <w:rsid w:val="0FE917AE"/>
    <w:rsid w:val="0FF46984"/>
    <w:rsid w:val="1034001B"/>
    <w:rsid w:val="10DE26BF"/>
    <w:rsid w:val="110931F0"/>
    <w:rsid w:val="111E441B"/>
    <w:rsid w:val="11884477"/>
    <w:rsid w:val="11F7530E"/>
    <w:rsid w:val="12892C75"/>
    <w:rsid w:val="132047C0"/>
    <w:rsid w:val="136A4379"/>
    <w:rsid w:val="138777C6"/>
    <w:rsid w:val="14A12732"/>
    <w:rsid w:val="151A0FA1"/>
    <w:rsid w:val="158C76E9"/>
    <w:rsid w:val="15AF5147"/>
    <w:rsid w:val="165C0172"/>
    <w:rsid w:val="17524D60"/>
    <w:rsid w:val="17593D09"/>
    <w:rsid w:val="188536C0"/>
    <w:rsid w:val="18E339B0"/>
    <w:rsid w:val="194867B2"/>
    <w:rsid w:val="196A48D1"/>
    <w:rsid w:val="1BFF593A"/>
    <w:rsid w:val="1C2B66B1"/>
    <w:rsid w:val="1D63307F"/>
    <w:rsid w:val="1DB95CCF"/>
    <w:rsid w:val="1E4245D1"/>
    <w:rsid w:val="1EA5787A"/>
    <w:rsid w:val="1F7F0C8B"/>
    <w:rsid w:val="20141D52"/>
    <w:rsid w:val="20471BC3"/>
    <w:rsid w:val="20BA2526"/>
    <w:rsid w:val="23247DF9"/>
    <w:rsid w:val="232C4798"/>
    <w:rsid w:val="235C179D"/>
    <w:rsid w:val="23736ACB"/>
    <w:rsid w:val="24C001EA"/>
    <w:rsid w:val="25FE40A7"/>
    <w:rsid w:val="26484ECE"/>
    <w:rsid w:val="265661A4"/>
    <w:rsid w:val="265A2335"/>
    <w:rsid w:val="26A24BE1"/>
    <w:rsid w:val="270D591B"/>
    <w:rsid w:val="283E5719"/>
    <w:rsid w:val="29070574"/>
    <w:rsid w:val="299E163B"/>
    <w:rsid w:val="29C32A98"/>
    <w:rsid w:val="29D92747"/>
    <w:rsid w:val="2AD36C20"/>
    <w:rsid w:val="2B363FFF"/>
    <w:rsid w:val="2CAD6E99"/>
    <w:rsid w:val="2D7633B7"/>
    <w:rsid w:val="2F77635E"/>
    <w:rsid w:val="2FE83951"/>
    <w:rsid w:val="2FF13F28"/>
    <w:rsid w:val="2FFB6672"/>
    <w:rsid w:val="30A41360"/>
    <w:rsid w:val="32DD6661"/>
    <w:rsid w:val="33B91DCD"/>
    <w:rsid w:val="33C80BC3"/>
    <w:rsid w:val="33D90FB2"/>
    <w:rsid w:val="341F7E14"/>
    <w:rsid w:val="3483668C"/>
    <w:rsid w:val="34CE5611"/>
    <w:rsid w:val="34CF5569"/>
    <w:rsid w:val="365609FA"/>
    <w:rsid w:val="36FF798B"/>
    <w:rsid w:val="37176747"/>
    <w:rsid w:val="3739150D"/>
    <w:rsid w:val="375340DA"/>
    <w:rsid w:val="37746CF8"/>
    <w:rsid w:val="37C175A1"/>
    <w:rsid w:val="37D01ADA"/>
    <w:rsid w:val="38464115"/>
    <w:rsid w:val="38655DA2"/>
    <w:rsid w:val="38F74197"/>
    <w:rsid w:val="3966051A"/>
    <w:rsid w:val="39E81063"/>
    <w:rsid w:val="3A160DED"/>
    <w:rsid w:val="3A3C575F"/>
    <w:rsid w:val="3B823C08"/>
    <w:rsid w:val="3BA768A8"/>
    <w:rsid w:val="3CAF6E75"/>
    <w:rsid w:val="3E385D5A"/>
    <w:rsid w:val="3E8C33CA"/>
    <w:rsid w:val="3F0F690A"/>
    <w:rsid w:val="3F946B08"/>
    <w:rsid w:val="3FC46FD2"/>
    <w:rsid w:val="3FFD7E54"/>
    <w:rsid w:val="403A7C8D"/>
    <w:rsid w:val="407F154F"/>
    <w:rsid w:val="40CD2157"/>
    <w:rsid w:val="410B459A"/>
    <w:rsid w:val="4137426A"/>
    <w:rsid w:val="4174356A"/>
    <w:rsid w:val="41DF13D7"/>
    <w:rsid w:val="42F706F9"/>
    <w:rsid w:val="457309DF"/>
    <w:rsid w:val="469305A9"/>
    <w:rsid w:val="46C17C1E"/>
    <w:rsid w:val="47900829"/>
    <w:rsid w:val="47E9740B"/>
    <w:rsid w:val="481604A9"/>
    <w:rsid w:val="4902434C"/>
    <w:rsid w:val="4B284175"/>
    <w:rsid w:val="4B6E3193"/>
    <w:rsid w:val="4C6A3E24"/>
    <w:rsid w:val="4D36477A"/>
    <w:rsid w:val="4E5C3915"/>
    <w:rsid w:val="4EC973A0"/>
    <w:rsid w:val="503108D2"/>
    <w:rsid w:val="50836C07"/>
    <w:rsid w:val="50FB46B9"/>
    <w:rsid w:val="515C364A"/>
    <w:rsid w:val="526C663D"/>
    <w:rsid w:val="530231B7"/>
    <w:rsid w:val="54177206"/>
    <w:rsid w:val="547773C2"/>
    <w:rsid w:val="5614782A"/>
    <w:rsid w:val="564E1239"/>
    <w:rsid w:val="56C854A7"/>
    <w:rsid w:val="56F67480"/>
    <w:rsid w:val="57211C1F"/>
    <w:rsid w:val="57B70706"/>
    <w:rsid w:val="57CB4750"/>
    <w:rsid w:val="5B534915"/>
    <w:rsid w:val="5C232DD3"/>
    <w:rsid w:val="5C3E7CA9"/>
    <w:rsid w:val="5C89392A"/>
    <w:rsid w:val="5D570C8D"/>
    <w:rsid w:val="5DEE42EF"/>
    <w:rsid w:val="5E785DEC"/>
    <w:rsid w:val="5F991CE5"/>
    <w:rsid w:val="60A968A5"/>
    <w:rsid w:val="60C321E2"/>
    <w:rsid w:val="60C36DDC"/>
    <w:rsid w:val="62A069D8"/>
    <w:rsid w:val="645B3C33"/>
    <w:rsid w:val="64A64766"/>
    <w:rsid w:val="64CC2532"/>
    <w:rsid w:val="656D0D6E"/>
    <w:rsid w:val="665968AD"/>
    <w:rsid w:val="66EB69B2"/>
    <w:rsid w:val="67056738"/>
    <w:rsid w:val="67DD03C1"/>
    <w:rsid w:val="68E43ADA"/>
    <w:rsid w:val="68F0088D"/>
    <w:rsid w:val="6A0E509B"/>
    <w:rsid w:val="6A5F24EE"/>
    <w:rsid w:val="6A653954"/>
    <w:rsid w:val="6A893B56"/>
    <w:rsid w:val="6AA64FBE"/>
    <w:rsid w:val="6AC4707F"/>
    <w:rsid w:val="6C3A6D11"/>
    <w:rsid w:val="6CB76FA3"/>
    <w:rsid w:val="6CE819F4"/>
    <w:rsid w:val="6D665469"/>
    <w:rsid w:val="6D8B1BF9"/>
    <w:rsid w:val="6E302275"/>
    <w:rsid w:val="715E4F2E"/>
    <w:rsid w:val="736A47A4"/>
    <w:rsid w:val="73731EB6"/>
    <w:rsid w:val="7587010E"/>
    <w:rsid w:val="76572698"/>
    <w:rsid w:val="76F321F0"/>
    <w:rsid w:val="77904F6B"/>
    <w:rsid w:val="77C15118"/>
    <w:rsid w:val="7810015A"/>
    <w:rsid w:val="793A05E4"/>
    <w:rsid w:val="794E3716"/>
    <w:rsid w:val="7AD543FD"/>
    <w:rsid w:val="7AF61E97"/>
    <w:rsid w:val="7B915BF8"/>
    <w:rsid w:val="7BD21C55"/>
    <w:rsid w:val="7BE4507B"/>
    <w:rsid w:val="7CAD1951"/>
    <w:rsid w:val="7CE46F11"/>
    <w:rsid w:val="7D0645E1"/>
    <w:rsid w:val="7D74648F"/>
    <w:rsid w:val="7DB01C30"/>
    <w:rsid w:val="7DC067AC"/>
    <w:rsid w:val="7ED4069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99"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iPriority="99"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3"/>
    <w:basedOn w:val="1"/>
    <w:next w:val="1"/>
    <w:qFormat/>
    <w:uiPriority w:val="0"/>
    <w:pPr>
      <w:spacing w:before="100" w:beforeAutospacing="1" w:after="100" w:afterAutospacing="1"/>
      <w:jc w:val="left"/>
      <w:outlineLvl w:val="2"/>
    </w:pPr>
    <w:rPr>
      <w:rFonts w:hint="eastAsia" w:ascii="宋体" w:hAnsi="宋体"/>
      <w:b/>
      <w:kern w:val="0"/>
      <w:sz w:val="27"/>
      <w:szCs w:val="27"/>
    </w:rPr>
  </w:style>
  <w:style w:type="character" w:default="1" w:styleId="17">
    <w:name w:val="Default Paragraph Font"/>
    <w:semiHidden/>
    <w:unhideWhenUsed/>
    <w:qFormat/>
    <w:uiPriority w:val="1"/>
  </w:style>
  <w:style w:type="table" w:default="1" w:styleId="15">
    <w:name w:val="Normal Table"/>
    <w:semiHidden/>
    <w:unhideWhenUsed/>
    <w:qFormat/>
    <w:uiPriority w:val="99"/>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paragraph" w:styleId="2">
    <w:name w:val="Body Text 3"/>
    <w:basedOn w:val="1"/>
    <w:unhideWhenUsed/>
    <w:qFormat/>
    <w:uiPriority w:val="99"/>
    <w:pPr>
      <w:spacing w:after="120"/>
    </w:pPr>
    <w:rPr>
      <w:rFonts w:ascii="Calibri" w:hAnsi="Calibri"/>
      <w:sz w:val="16"/>
      <w:szCs w:val="16"/>
    </w:rPr>
  </w:style>
  <w:style w:type="paragraph" w:styleId="4">
    <w:name w:val="annotation text"/>
    <w:basedOn w:val="1"/>
    <w:link w:val="26"/>
    <w:qFormat/>
    <w:uiPriority w:val="0"/>
    <w:pPr>
      <w:jc w:val="left"/>
    </w:pPr>
  </w:style>
  <w:style w:type="paragraph" w:styleId="5">
    <w:name w:val="Body Text"/>
    <w:basedOn w:val="1"/>
    <w:next w:val="1"/>
    <w:qFormat/>
    <w:uiPriority w:val="0"/>
    <w:rPr>
      <w:rFonts w:eastAsia="经典中圆繁"/>
      <w:sz w:val="28"/>
    </w:rPr>
  </w:style>
  <w:style w:type="paragraph" w:styleId="6">
    <w:name w:val="Plain Text"/>
    <w:qFormat/>
    <w:uiPriority w:val="0"/>
    <w:pPr>
      <w:widowControl w:val="0"/>
      <w:jc w:val="both"/>
    </w:pPr>
    <w:rPr>
      <w:rFonts w:ascii="宋体" w:hAnsi="Courier New" w:eastAsia="宋体" w:cs="Times New Roman"/>
      <w:kern w:val="2"/>
      <w:sz w:val="21"/>
      <w:lang w:val="en-US" w:eastAsia="zh-CN" w:bidi="ar-SA"/>
    </w:rPr>
  </w:style>
  <w:style w:type="paragraph" w:styleId="7">
    <w:name w:val="Balloon Text"/>
    <w:basedOn w:val="1"/>
    <w:link w:val="25"/>
    <w:uiPriority w:val="0"/>
    <w:rPr>
      <w:sz w:val="18"/>
      <w:szCs w:val="18"/>
    </w:rPr>
  </w:style>
  <w:style w:type="paragraph" w:styleId="8">
    <w:name w:val="footer"/>
    <w:qFormat/>
    <w:uiPriority w:val="0"/>
    <w:pPr>
      <w:widowControl w:val="0"/>
      <w:tabs>
        <w:tab w:val="center" w:pos="4140"/>
        <w:tab w:val="right" w:pos="8300"/>
      </w:tabs>
      <w:snapToGrid w:val="0"/>
    </w:pPr>
    <w:rPr>
      <w:rFonts w:ascii="Times New Roman" w:hAnsi="Times New Roman" w:eastAsia="宋体" w:cs="Times New Roman"/>
      <w:sz w:val="18"/>
      <w:lang w:val="en-US" w:eastAsia="zh-CN" w:bidi="ar-SA"/>
    </w:rPr>
  </w:style>
  <w:style w:type="paragraph" w:styleId="9">
    <w:name w:val="header"/>
    <w:qFormat/>
    <w:uiPriority w:val="99"/>
    <w:pPr>
      <w:widowControl w:val="0"/>
      <w:pBdr>
        <w:bottom w:val="single" w:color="auto" w:sz="6" w:space="1"/>
      </w:pBdr>
      <w:tabs>
        <w:tab w:val="center" w:pos="4140"/>
        <w:tab w:val="right" w:pos="8300"/>
      </w:tabs>
      <w:snapToGrid w:val="0"/>
      <w:jc w:val="center"/>
    </w:pPr>
    <w:rPr>
      <w:rFonts w:ascii="Times New Roman" w:hAnsi="Times New Roman" w:eastAsia="宋体" w:cs="Times New Roman"/>
      <w:sz w:val="18"/>
      <w:lang w:val="en-US" w:eastAsia="zh-CN" w:bidi="ar-SA"/>
    </w:rPr>
  </w:style>
  <w:style w:type="paragraph" w:styleId="10">
    <w:name w:val="toc 1"/>
    <w:next w:val="1"/>
    <w:qFormat/>
    <w:uiPriority w:val="39"/>
    <w:pPr>
      <w:widowControl w:val="0"/>
      <w:jc w:val="both"/>
    </w:pPr>
    <w:rPr>
      <w:rFonts w:ascii="Times New Roman" w:hAnsi="Times New Roman" w:eastAsia="宋体" w:cs="Times New Roman"/>
      <w:kern w:val="2"/>
      <w:sz w:val="21"/>
      <w:szCs w:val="24"/>
      <w:lang w:val="en-US" w:eastAsia="zh-CN" w:bidi="ar-SA"/>
    </w:rPr>
  </w:style>
  <w:style w:type="paragraph" w:styleId="11">
    <w:name w:val="toc 2"/>
    <w:next w:val="1"/>
    <w:qFormat/>
    <w:uiPriority w:val="39"/>
    <w:pPr>
      <w:widowControl w:val="0"/>
      <w:ind w:left="420" w:leftChars="200"/>
      <w:jc w:val="both"/>
    </w:pPr>
    <w:rPr>
      <w:rFonts w:ascii="Times New Roman" w:hAnsi="Times New Roman" w:eastAsia="宋体" w:cs="Times New Roman"/>
      <w:kern w:val="2"/>
      <w:sz w:val="21"/>
      <w:szCs w:val="24"/>
      <w:lang w:val="en-US" w:eastAsia="zh-CN" w:bidi="ar-SA"/>
    </w:rPr>
  </w:style>
  <w:style w:type="paragraph" w:styleId="12">
    <w:name w:val="Normal (Web)"/>
    <w:basedOn w:val="1"/>
    <w:qFormat/>
    <w:uiPriority w:val="0"/>
    <w:pPr>
      <w:spacing w:before="100" w:beforeAutospacing="1" w:after="100" w:afterAutospacing="1"/>
      <w:jc w:val="left"/>
    </w:pPr>
    <w:rPr>
      <w:kern w:val="0"/>
      <w:sz w:val="24"/>
    </w:rPr>
  </w:style>
  <w:style w:type="paragraph" w:styleId="13">
    <w:name w:val="Title"/>
    <w:basedOn w:val="1"/>
    <w:next w:val="1"/>
    <w:qFormat/>
    <w:uiPriority w:val="0"/>
    <w:pPr>
      <w:spacing w:before="240" w:after="60"/>
      <w:jc w:val="center"/>
      <w:outlineLvl w:val="0"/>
    </w:pPr>
    <w:rPr>
      <w:rFonts w:ascii="Cambria" w:hAnsi="Cambria"/>
      <w:b/>
      <w:bCs/>
      <w:sz w:val="32"/>
      <w:szCs w:val="32"/>
    </w:rPr>
  </w:style>
  <w:style w:type="paragraph" w:styleId="14">
    <w:name w:val="annotation subject"/>
    <w:basedOn w:val="4"/>
    <w:next w:val="4"/>
    <w:link w:val="27"/>
    <w:qFormat/>
    <w:uiPriority w:val="0"/>
    <w:rPr>
      <w:b/>
      <w:bCs/>
    </w:rPr>
  </w:style>
  <w:style w:type="table" w:styleId="16">
    <w:name w:val="Table Grid"/>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
  </w:style>
  <w:style w:type="character" w:styleId="18">
    <w:name w:val="Strong"/>
    <w:basedOn w:val="17"/>
    <w:qFormat/>
    <w:uiPriority w:val="0"/>
    <w:rPr>
      <w:b/>
    </w:rPr>
  </w:style>
  <w:style w:type="character" w:styleId="19">
    <w:name w:val="page number"/>
    <w:qFormat/>
    <w:uiPriority w:val="0"/>
    <w:rPr>
      <w:rFonts w:ascii="Calibri" w:hAnsi="Calibri" w:eastAsia="宋体"/>
    </w:rPr>
  </w:style>
  <w:style w:type="character" w:styleId="20">
    <w:name w:val="Hyperlink"/>
    <w:basedOn w:val="17"/>
    <w:qFormat/>
    <w:uiPriority w:val="99"/>
    <w:rPr>
      <w:rFonts w:ascii="Calibri" w:hAnsi="Calibri" w:eastAsia="宋体"/>
      <w:color w:val="0000FF"/>
      <w:u w:val="single"/>
    </w:rPr>
  </w:style>
  <w:style w:type="character" w:styleId="21">
    <w:name w:val="annotation reference"/>
    <w:basedOn w:val="17"/>
    <w:qFormat/>
    <w:uiPriority w:val="0"/>
    <w:rPr>
      <w:sz w:val="21"/>
      <w:szCs w:val="21"/>
    </w:rPr>
  </w:style>
  <w:style w:type="paragraph" w:customStyle="1" w:styleId="22">
    <w:name w:val="Default"/>
    <w:qFormat/>
    <w:uiPriority w:val="0"/>
    <w:pPr>
      <w:widowControl w:val="0"/>
      <w:autoSpaceDE w:val="0"/>
      <w:autoSpaceDN w:val="0"/>
      <w:adjustRightInd w:val="0"/>
    </w:pPr>
    <w:rPr>
      <w:rFonts w:ascii="宋体" w:hAnsi="Times New Roman" w:eastAsia="宋体" w:cs="Times New Roman"/>
      <w:color w:val="000000"/>
      <w:sz w:val="24"/>
      <w:lang w:val="en-US" w:eastAsia="zh-CN" w:bidi="ar-SA"/>
    </w:rPr>
  </w:style>
  <w:style w:type="paragraph" w:customStyle="1" w:styleId="23">
    <w:name w:val="WPSOffice手动目录 1"/>
    <w:qFormat/>
    <w:uiPriority w:val="0"/>
    <w:rPr>
      <w:rFonts w:ascii="Times New Roman" w:hAnsi="Times New Roman" w:eastAsia="宋体" w:cs="Times New Roman"/>
      <w:lang w:val="en-US" w:eastAsia="zh-CN" w:bidi="ar-SA"/>
    </w:rPr>
  </w:style>
  <w:style w:type="paragraph" w:customStyle="1" w:styleId="24">
    <w:name w:val="样式3"/>
    <w:qFormat/>
    <w:uiPriority w:val="0"/>
    <w:pPr>
      <w:widowControl w:val="0"/>
      <w:spacing w:line="0" w:lineRule="atLeast"/>
      <w:jc w:val="both"/>
      <w:outlineLvl w:val="0"/>
    </w:pPr>
    <w:rPr>
      <w:rFonts w:ascii="宋体" w:hAnsi="Courier New" w:eastAsia="宋体" w:cs="Times New Roman"/>
      <w:kern w:val="2"/>
      <w:sz w:val="28"/>
      <w:lang w:val="en-US" w:eastAsia="zh-CN" w:bidi="ar-SA"/>
    </w:rPr>
  </w:style>
  <w:style w:type="character" w:customStyle="1" w:styleId="25">
    <w:name w:val="批注框文本 字符"/>
    <w:basedOn w:val="17"/>
    <w:link w:val="7"/>
    <w:qFormat/>
    <w:uiPriority w:val="0"/>
    <w:rPr>
      <w:kern w:val="2"/>
      <w:sz w:val="18"/>
      <w:szCs w:val="18"/>
    </w:rPr>
  </w:style>
  <w:style w:type="character" w:customStyle="1" w:styleId="26">
    <w:name w:val="批注文字 字符"/>
    <w:basedOn w:val="17"/>
    <w:link w:val="4"/>
    <w:qFormat/>
    <w:uiPriority w:val="0"/>
    <w:rPr>
      <w:kern w:val="2"/>
      <w:sz w:val="21"/>
      <w:szCs w:val="24"/>
    </w:rPr>
  </w:style>
  <w:style w:type="character" w:customStyle="1" w:styleId="27">
    <w:name w:val="批注主题 字符"/>
    <w:basedOn w:val="26"/>
    <w:link w:val="14"/>
    <w:qFormat/>
    <w:uiPriority w:val="0"/>
    <w:rPr>
      <w:b/>
      <w:bCs/>
      <w:kern w:val="2"/>
      <w:sz w:val="21"/>
      <w:szCs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P R C</Company>
  <Pages>76</Pages>
  <Words>44979</Words>
  <Characters>47121</Characters>
  <Lines>1</Lines>
  <Paragraphs>1</Paragraphs>
  <TotalTime>8</TotalTime>
  <ScaleCrop>false</ScaleCrop>
  <LinksUpToDate>false</LinksUpToDate>
  <CharactersWithSpaces>50262</CharactersWithSpaces>
  <Application>WPS Office_11.1.0.13012_F1E327BC-269C-435d-A152-05C5408002CA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2019-07-11T09:14:00Z</dcterms:created>
  <dc:creator>Lenovo</dc:creator>
  <cp:lastModifiedBy>栗弋。</cp:lastModifiedBy>
  <dcterms:modified xsi:type="dcterms:W3CDTF">2023-01-31T02:38:17Z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2052-11.1.0.13012</vt:lpwstr>
  </property>
  <property fmtid="{D5CDD505-2E9C-101B-9397-08002B2CF9AE}" pid="3" name="ICV">
    <vt:lpwstr>6C3FF2EBA75347ED9E194072B87947BC</vt:lpwstr>
  </property>
</Properties>
</file>